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jc w:val="left"/>
        <w:rPr>
          <w:rFonts w:ascii="Times New Roman" w:hAnsi="Times New Roman" w:cs="Times New Roman"/>
          <w:bCs/>
          <w:kern w:val="0"/>
          <w:sz w:val="28"/>
          <w:szCs w:val="28"/>
        </w:rPr>
      </w:pPr>
      <w:r>
        <w:rPr>
          <w:rFonts w:ascii="Times New Roman" w:hAnsi="Times New Roman" w:cs="Times New Roman"/>
          <w:bCs/>
          <w:kern w:val="0"/>
          <w:sz w:val="28"/>
          <w:szCs w:val="28"/>
        </w:rPr>
        <w:t>附件1：</w:t>
      </w:r>
    </w:p>
    <w:p>
      <w:pPr>
        <w:jc w:val="center"/>
        <w:rPr>
          <w:rFonts w:ascii="Times New Roman" w:hAnsi="Times New Roman" w:eastAsia="方正小标宋_GBK" w:cs="Times New Roman"/>
          <w:bCs/>
          <w:kern w:val="0"/>
          <w:sz w:val="44"/>
          <w:szCs w:val="40"/>
        </w:rPr>
      </w:pPr>
      <w:r>
        <w:rPr>
          <w:rFonts w:ascii="Times New Roman" w:hAnsi="Times New Roman" w:eastAsia="方正小标宋_GBK" w:cs="Times New Roman"/>
          <w:bCs/>
          <w:kern w:val="0"/>
          <w:sz w:val="44"/>
          <w:szCs w:val="40"/>
        </w:rPr>
        <w:t>四十大项目1-10月完成情况表</w:t>
      </w:r>
    </w:p>
    <w:p>
      <w:pPr>
        <w:ind w:right="200"/>
        <w:jc w:val="right"/>
        <w:rPr>
          <w:rFonts w:ascii="Times New Roman" w:hAnsi="Times New Roman" w:cs="Times New Roman"/>
        </w:rPr>
      </w:pPr>
      <w:r>
        <w:rPr>
          <w:rFonts w:ascii="Times New Roman" w:hAnsi="Times New Roman" w:eastAsia="宋体" w:cs="Times New Roman"/>
          <w:kern w:val="0"/>
          <w:sz w:val="20"/>
          <w:szCs w:val="20"/>
        </w:rPr>
        <w:t>（单位：万元）</w:t>
      </w:r>
    </w:p>
    <w:tbl>
      <w:tblPr>
        <w:tblStyle w:val="8"/>
        <w:tblW w:w="14956" w:type="dxa"/>
        <w:jc w:val="center"/>
        <w:tblInd w:w="93" w:type="dxa"/>
        <w:tblLayout w:type="fixed"/>
        <w:tblCellMar>
          <w:top w:w="0" w:type="dxa"/>
          <w:left w:w="28" w:type="dxa"/>
          <w:bottom w:w="0" w:type="dxa"/>
          <w:right w:w="28" w:type="dxa"/>
        </w:tblCellMar>
      </w:tblPr>
      <w:tblGrid>
        <w:gridCol w:w="337"/>
        <w:gridCol w:w="1003"/>
        <w:gridCol w:w="1985"/>
        <w:gridCol w:w="567"/>
        <w:gridCol w:w="927"/>
        <w:gridCol w:w="484"/>
        <w:gridCol w:w="908"/>
        <w:gridCol w:w="778"/>
        <w:gridCol w:w="677"/>
        <w:gridCol w:w="658"/>
        <w:gridCol w:w="1985"/>
        <w:gridCol w:w="1134"/>
        <w:gridCol w:w="737"/>
        <w:gridCol w:w="718"/>
        <w:gridCol w:w="2058"/>
      </w:tblGrid>
      <w:tr>
        <w:tblPrEx>
          <w:tblLayout w:type="fixed"/>
          <w:tblCellMar>
            <w:top w:w="0" w:type="dxa"/>
            <w:left w:w="28" w:type="dxa"/>
            <w:bottom w:w="0" w:type="dxa"/>
            <w:right w:w="28" w:type="dxa"/>
          </w:tblCellMar>
        </w:tblPrEx>
        <w:trPr>
          <w:trHeight w:val="304" w:hRule="atLeast"/>
          <w:tblHeader/>
          <w:jc w:val="center"/>
        </w:trPr>
        <w:tc>
          <w:tcPr>
            <w:tcW w:w="3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序号</w:t>
            </w:r>
          </w:p>
        </w:tc>
        <w:tc>
          <w:tcPr>
            <w:tcW w:w="10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项目名称</w:t>
            </w:r>
          </w:p>
        </w:tc>
        <w:tc>
          <w:tcPr>
            <w:tcW w:w="19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建设内容</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建设性质</w:t>
            </w:r>
          </w:p>
        </w:tc>
        <w:tc>
          <w:tcPr>
            <w:tcW w:w="9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建设起止年限</w:t>
            </w:r>
          </w:p>
        </w:tc>
        <w:tc>
          <w:tcPr>
            <w:tcW w:w="4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资金来源</w:t>
            </w:r>
          </w:p>
        </w:tc>
        <w:tc>
          <w:tcPr>
            <w:tcW w:w="9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总投资</w:t>
            </w:r>
          </w:p>
        </w:tc>
        <w:tc>
          <w:tcPr>
            <w:tcW w:w="7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2016年计划投资</w:t>
            </w:r>
          </w:p>
        </w:tc>
        <w:tc>
          <w:tcPr>
            <w:tcW w:w="332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1-10月完成情况</w:t>
            </w:r>
          </w:p>
        </w:tc>
        <w:tc>
          <w:tcPr>
            <w:tcW w:w="18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责任部门</w:t>
            </w:r>
          </w:p>
        </w:tc>
        <w:tc>
          <w:tcPr>
            <w:tcW w:w="7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联系市级领导</w:t>
            </w:r>
          </w:p>
        </w:tc>
        <w:tc>
          <w:tcPr>
            <w:tcW w:w="20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年度目标</w:t>
            </w:r>
          </w:p>
        </w:tc>
      </w:tr>
      <w:tr>
        <w:tblPrEx>
          <w:tblLayout w:type="fixed"/>
          <w:tblCellMar>
            <w:top w:w="0" w:type="dxa"/>
            <w:left w:w="28" w:type="dxa"/>
            <w:bottom w:w="0" w:type="dxa"/>
            <w:right w:w="28" w:type="dxa"/>
          </w:tblCellMar>
        </w:tblPrEx>
        <w:trPr>
          <w:trHeight w:val="407" w:hRule="atLeast"/>
          <w:tblHeader/>
          <w:jc w:val="center"/>
        </w:trPr>
        <w:tc>
          <w:tcPr>
            <w:tcW w:w="3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p>
        </w:tc>
        <w:tc>
          <w:tcPr>
            <w:tcW w:w="10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p>
        </w:tc>
        <w:tc>
          <w:tcPr>
            <w:tcW w:w="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p>
        </w:tc>
        <w:tc>
          <w:tcPr>
            <w:tcW w:w="9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p>
        </w:tc>
        <w:tc>
          <w:tcPr>
            <w:tcW w:w="778"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当月</w:t>
            </w:r>
          </w:p>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投资</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累计投资</w:t>
            </w:r>
          </w:p>
        </w:tc>
        <w:tc>
          <w:tcPr>
            <w:tcW w:w="1985" w:type="dxa"/>
            <w:tcBorders>
              <w:top w:val="nil"/>
              <w:left w:val="nil"/>
              <w:bottom w:val="single" w:color="auto" w:sz="4" w:space="0"/>
              <w:right w:val="nil"/>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形象进度</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单位</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责任人</w:t>
            </w:r>
          </w:p>
        </w:tc>
        <w:tc>
          <w:tcPr>
            <w:tcW w:w="7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p>
        </w:tc>
        <w:tc>
          <w:tcPr>
            <w:tcW w:w="20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p>
        </w:tc>
      </w:tr>
      <w:tr>
        <w:tblPrEx>
          <w:tblLayout w:type="fixed"/>
          <w:tblCellMar>
            <w:top w:w="0" w:type="dxa"/>
            <w:left w:w="28" w:type="dxa"/>
            <w:bottom w:w="0" w:type="dxa"/>
            <w:right w:w="28" w:type="dxa"/>
          </w:tblCellMar>
        </w:tblPrEx>
        <w:trPr>
          <w:trHeight w:val="415"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496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合计（40个）</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16920253</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nil"/>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r>
      <w:tr>
        <w:tblPrEx>
          <w:tblLayout w:type="fixed"/>
          <w:tblCellMar>
            <w:top w:w="0" w:type="dxa"/>
            <w:left w:w="28" w:type="dxa"/>
            <w:bottom w:w="0" w:type="dxa"/>
            <w:right w:w="28" w:type="dxa"/>
          </w:tblCellMar>
        </w:tblPrEx>
        <w:trPr>
          <w:trHeight w:val="415"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一</w:t>
            </w:r>
          </w:p>
        </w:tc>
        <w:tc>
          <w:tcPr>
            <w:tcW w:w="496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十大基础设施工程（10个）</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6113487</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nil"/>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r>
      <w:tr>
        <w:tblPrEx>
          <w:tblLayout w:type="fixed"/>
          <w:tblCellMar>
            <w:top w:w="0" w:type="dxa"/>
            <w:left w:w="28" w:type="dxa"/>
            <w:bottom w:w="0" w:type="dxa"/>
            <w:right w:w="28" w:type="dxa"/>
          </w:tblCellMar>
        </w:tblPrEx>
        <w:trPr>
          <w:trHeight w:val="91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沅江隧道</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新建长2.3公里的双向四车道隧道</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2016-2019</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20300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21526</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完成鼎城区121户倒房；盾构机工作机井的拆迁。</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市城建投集团公司 </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市龙马公司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方际三</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余晓斌</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10.16开工建设，完成投资2亿元，进行拆迁倒房、施井开挖工作</w:t>
            </w:r>
          </w:p>
        </w:tc>
      </w:tr>
      <w:tr>
        <w:tblPrEx>
          <w:tblLayout w:type="fixed"/>
          <w:tblCellMar>
            <w:top w:w="0" w:type="dxa"/>
            <w:left w:w="28" w:type="dxa"/>
            <w:bottom w:w="0" w:type="dxa"/>
            <w:right w:w="28" w:type="dxa"/>
          </w:tblCellMar>
        </w:tblPrEx>
        <w:trPr>
          <w:trHeight w:val="545" w:hRule="atLeast"/>
          <w:jc w:val="center"/>
        </w:trPr>
        <w:tc>
          <w:tcPr>
            <w:tcW w:w="3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w:t>
            </w:r>
          </w:p>
        </w:tc>
        <w:tc>
          <w:tcPr>
            <w:tcW w:w="496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沅澧快速干线（一、二、四、六号大道）</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沈习淼</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r>
      <w:tr>
        <w:tblPrEx>
          <w:tblLayout w:type="fixed"/>
          <w:tblCellMar>
            <w:top w:w="0" w:type="dxa"/>
            <w:left w:w="28" w:type="dxa"/>
            <w:bottom w:w="0" w:type="dxa"/>
            <w:right w:w="28" w:type="dxa"/>
          </w:tblCellMar>
        </w:tblPrEx>
        <w:trPr>
          <w:trHeight w:val="1202"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①</w:t>
            </w:r>
            <w:r>
              <w:rPr>
                <w:rFonts w:ascii="Times New Roman" w:hAnsi="Times New Roman" w:eastAsia="宋体" w:cs="Times New Roman"/>
                <w:color w:val="000000" w:themeColor="text1"/>
                <w:kern w:val="0"/>
                <w:sz w:val="20"/>
                <w:szCs w:val="20"/>
                <w14:textFill>
                  <w14:solidFill>
                    <w14:schemeClr w14:val="tx1"/>
                  </w14:solidFill>
                </w14:textFill>
              </w:rPr>
              <w:t>一号大道建设工程</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鼎城境内21.9公里</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138600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28800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26000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10月份主要正在进行20公里路基础的夯实和涵洞、人行通道和道路边沟的施工。</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常德鼎力投资有限公司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杨  鹰</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完成路基夯实，开始沥青砼摊铺</w:t>
            </w:r>
          </w:p>
        </w:tc>
      </w:tr>
      <w:tr>
        <w:tblPrEx>
          <w:tblLayout w:type="fixed"/>
          <w:tblCellMar>
            <w:top w:w="0" w:type="dxa"/>
            <w:left w:w="28" w:type="dxa"/>
            <w:bottom w:w="0" w:type="dxa"/>
            <w:right w:w="28" w:type="dxa"/>
          </w:tblCellMar>
        </w:tblPrEx>
        <w:trPr>
          <w:trHeight w:val="680"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临澧境内27.74公里</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省投</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120600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27500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正在进行路面和桥梁施工</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临澧沅澧快速干线有限公司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黄素荣</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完成路基夯实，开始沥青砼摊铺</w:t>
            </w:r>
          </w:p>
        </w:tc>
      </w:tr>
      <w:tr>
        <w:tblPrEx>
          <w:tblLayout w:type="fixed"/>
          <w:tblCellMar>
            <w:top w:w="0" w:type="dxa"/>
            <w:left w:w="28" w:type="dxa"/>
            <w:bottom w:w="0" w:type="dxa"/>
            <w:right w:w="28" w:type="dxa"/>
          </w:tblCellMar>
        </w:tblPrEx>
        <w:trPr>
          <w:trHeight w:val="681"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②</w:t>
            </w:r>
            <w:r>
              <w:rPr>
                <w:rFonts w:ascii="Times New Roman" w:hAnsi="Times New Roman" w:eastAsia="宋体" w:cs="Times New Roman"/>
                <w:color w:val="000000" w:themeColor="text1"/>
                <w:kern w:val="0"/>
                <w:sz w:val="20"/>
                <w:szCs w:val="20"/>
                <w14:textFill>
                  <w14:solidFill>
                    <w14:schemeClr w14:val="tx1"/>
                  </w14:solidFill>
                </w14:textFill>
              </w:rPr>
              <w:t>二号大道建设工程</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石门境内9.57公里</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37000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18500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主体工程建设</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石门交建投公司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龚道平</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年内完成5公里城区路段的沥青砼摊铺</w:t>
            </w:r>
          </w:p>
        </w:tc>
      </w:tr>
      <w:tr>
        <w:tblPrEx>
          <w:tblLayout w:type="fixed"/>
          <w:tblCellMar>
            <w:top w:w="0" w:type="dxa"/>
            <w:left w:w="28" w:type="dxa"/>
            <w:bottom w:w="0" w:type="dxa"/>
            <w:right w:w="28" w:type="dxa"/>
          </w:tblCellMar>
        </w:tblPrEx>
        <w:trPr>
          <w:trHeight w:val="680" w:hRule="atLeast"/>
          <w:jc w:val="center"/>
        </w:trPr>
        <w:tc>
          <w:tcPr>
            <w:tcW w:w="3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w:t>
            </w:r>
          </w:p>
        </w:tc>
        <w:tc>
          <w:tcPr>
            <w:tcW w:w="100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②</w:t>
            </w:r>
            <w:r>
              <w:rPr>
                <w:rFonts w:ascii="Times New Roman" w:hAnsi="Times New Roman" w:eastAsia="宋体" w:cs="Times New Roman"/>
                <w:color w:val="000000" w:themeColor="text1"/>
                <w:kern w:val="0"/>
                <w:sz w:val="20"/>
                <w:szCs w:val="20"/>
                <w14:textFill>
                  <w14:solidFill>
                    <w14:schemeClr w14:val="tx1"/>
                  </w14:solidFill>
                </w14:textFill>
              </w:rPr>
              <w:t>二号大道建设工程</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临澧境内16.25公里</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改建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省投</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44300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18700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正在进行路基土石方和涵洞施工</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临澧沅澧快速干线有限公司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刘永春</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沈习淼</w:t>
            </w:r>
          </w:p>
        </w:tc>
        <w:tc>
          <w:tcPr>
            <w:tcW w:w="2058"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完成路基填筑并具备路基施工条件。</w:t>
            </w:r>
          </w:p>
        </w:tc>
      </w:tr>
      <w:tr>
        <w:tblPrEx>
          <w:tblLayout w:type="fixed"/>
          <w:tblCellMar>
            <w:top w:w="0" w:type="dxa"/>
            <w:left w:w="28" w:type="dxa"/>
            <w:bottom w:w="0" w:type="dxa"/>
            <w:right w:w="28" w:type="dxa"/>
          </w:tblCellMar>
        </w:tblPrEx>
        <w:trPr>
          <w:trHeight w:val="680"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澧县境内25.07 公里</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改建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国省投</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105560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420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19615</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主体工程建设</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澧县嘉诚交通投资有限公司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孙运岩</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进行路基修筑，完成澹水大桥下部结构施工。</w:t>
            </w:r>
          </w:p>
        </w:tc>
      </w:tr>
      <w:tr>
        <w:tblPrEx>
          <w:tblLayout w:type="fixed"/>
          <w:tblCellMar>
            <w:top w:w="0" w:type="dxa"/>
            <w:left w:w="28" w:type="dxa"/>
            <w:bottom w:w="0" w:type="dxa"/>
            <w:right w:w="28" w:type="dxa"/>
          </w:tblCellMar>
        </w:tblPrEx>
        <w:trPr>
          <w:trHeight w:val="668"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③</w:t>
            </w:r>
            <w:r>
              <w:rPr>
                <w:rFonts w:ascii="Times New Roman" w:hAnsi="Times New Roman" w:eastAsia="宋体" w:cs="Times New Roman"/>
                <w:color w:val="000000" w:themeColor="text1"/>
                <w:kern w:val="0"/>
                <w:sz w:val="20"/>
                <w:szCs w:val="20"/>
                <w14:textFill>
                  <w14:solidFill>
                    <w14:schemeClr w14:val="tx1"/>
                  </w14:solidFill>
                </w14:textFill>
              </w:rPr>
              <w:t>四号大道建设工程</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桃源境内28.2公里</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2016-2020</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108900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60000</w:t>
            </w: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桃源县交建投公司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龙文政</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因前期征拆工作未完成，年内无法形成有效投资，已退出重点工程。</w:t>
            </w:r>
          </w:p>
        </w:tc>
      </w:tr>
      <w:tr>
        <w:tblPrEx>
          <w:tblLayout w:type="fixed"/>
          <w:tblCellMar>
            <w:top w:w="0" w:type="dxa"/>
            <w:left w:w="28" w:type="dxa"/>
            <w:bottom w:w="0" w:type="dxa"/>
            <w:right w:w="28" w:type="dxa"/>
          </w:tblCellMar>
        </w:tblPrEx>
        <w:trPr>
          <w:trHeight w:val="821"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④</w:t>
            </w:r>
            <w:r>
              <w:rPr>
                <w:rFonts w:ascii="Times New Roman" w:hAnsi="Times New Roman" w:eastAsia="宋体" w:cs="Times New Roman"/>
                <w:color w:val="000000" w:themeColor="text1"/>
                <w:kern w:val="0"/>
                <w:sz w:val="20"/>
                <w:szCs w:val="20"/>
                <w14:textFill>
                  <w14:solidFill>
                    <w14:schemeClr w14:val="tx1"/>
                  </w14:solidFill>
                </w14:textFill>
              </w:rPr>
              <w:t>六号大道建设工程</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经开区境内10.43公里</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2016-2018</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72990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33000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15400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23350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己完成项目部搭建；完成原地貌复测；完成2000米边沟和1000米清淤清表</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德源公司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周  云</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开始路基修筑。</w:t>
            </w:r>
          </w:p>
        </w:tc>
      </w:tr>
      <w:tr>
        <w:tblPrEx>
          <w:tblLayout w:type="fixed"/>
          <w:tblCellMar>
            <w:top w:w="0" w:type="dxa"/>
            <w:left w:w="28" w:type="dxa"/>
            <w:bottom w:w="0" w:type="dxa"/>
            <w:right w:w="28" w:type="dxa"/>
          </w:tblCellMar>
        </w:tblPrEx>
        <w:trPr>
          <w:trHeight w:val="680"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④</w:t>
            </w:r>
            <w:r>
              <w:rPr>
                <w:rFonts w:ascii="Times New Roman" w:hAnsi="Times New Roman" w:eastAsia="宋体" w:cs="Times New Roman"/>
                <w:color w:val="000000" w:themeColor="text1"/>
                <w:kern w:val="0"/>
                <w:sz w:val="20"/>
                <w:szCs w:val="20"/>
                <w14:textFill>
                  <w14:solidFill>
                    <w14:schemeClr w14:val="tx1"/>
                  </w14:solidFill>
                </w14:textFill>
              </w:rPr>
              <w:t>六号大道建设工程</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汉寿境内14.2公里</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省投</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84000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45000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54000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已完成全线红线沟开挖，清表50万平方，路基土石方挖方50万立方，路基填方40万立方，沧浪大桥和友谊河大桥正在建设中</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汉寿县远达交通建设有限公司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王众豪</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力争年内完成路基和基层施工。</w:t>
            </w:r>
          </w:p>
        </w:tc>
      </w:tr>
      <w:tr>
        <w:tblPrEx>
          <w:tblLayout w:type="fixed"/>
          <w:tblCellMar>
            <w:top w:w="0" w:type="dxa"/>
            <w:left w:w="28" w:type="dxa"/>
            <w:bottom w:w="0" w:type="dxa"/>
            <w:right w:w="28" w:type="dxa"/>
          </w:tblCellMar>
        </w:tblPrEx>
        <w:trPr>
          <w:trHeight w:val="394" w:hRule="atLeast"/>
          <w:jc w:val="center"/>
        </w:trPr>
        <w:tc>
          <w:tcPr>
            <w:tcW w:w="3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w:t>
            </w:r>
          </w:p>
        </w:tc>
        <w:tc>
          <w:tcPr>
            <w:tcW w:w="496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阳山、阳明大道</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p>
        </w:tc>
        <w:tc>
          <w:tcPr>
            <w:tcW w:w="2058" w:type="dxa"/>
            <w:tcBorders>
              <w:top w:val="nil"/>
              <w:left w:val="nil"/>
              <w:bottom w:val="nil"/>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r>
      <w:tr>
        <w:tblPrEx>
          <w:tblLayout w:type="fixed"/>
          <w:tblCellMar>
            <w:top w:w="0" w:type="dxa"/>
            <w:left w:w="28" w:type="dxa"/>
            <w:bottom w:w="0" w:type="dxa"/>
            <w:right w:w="28" w:type="dxa"/>
          </w:tblCellMar>
        </w:tblPrEx>
        <w:trPr>
          <w:trHeight w:val="680" w:hRule="atLeast"/>
          <w:jc w:val="center"/>
        </w:trPr>
        <w:tc>
          <w:tcPr>
            <w:tcW w:w="3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①</w:t>
            </w:r>
            <w:r>
              <w:rPr>
                <w:rFonts w:ascii="Times New Roman" w:hAnsi="Times New Roman" w:eastAsia="宋体" w:cs="Times New Roman"/>
                <w:color w:val="000000" w:themeColor="text1"/>
                <w:kern w:val="0"/>
                <w:sz w:val="20"/>
                <w:szCs w:val="20"/>
                <w14:textFill>
                  <w14:solidFill>
                    <w14:schemeClr w14:val="tx1"/>
                  </w14:solidFill>
                </w14:textFill>
              </w:rPr>
              <w:t>阳山大道</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常德大道-花山河长5公</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48000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7772</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2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一标：1、完成65米特殊路基处理；2、完成240米雨污水管埋设；3、完成135米临时排水管埋设；4、完成169米箱涵施工。 二标：1、完成80米箱涵施工；2、完成60米西侧雨水管埋设、77米西侧污水管埋设；3、完成197米路基清表；4、完成105米池塘清淤；5、完成320米部分山砾石回填。 三标：1、完成ABCD四个匝道清表及1区和3区的清表施工；2、完成590米主路部分山砾石回填；3、完成ABCD四个匝道及1区和3区部分山砾石回填。</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市城建投集团公司 </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市龙马公司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方际三</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余晓斌</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完成路基山砾石回填工作。</w:t>
            </w:r>
          </w:p>
        </w:tc>
      </w:tr>
      <w:tr>
        <w:tblPrEx>
          <w:tblLayout w:type="fixed"/>
          <w:tblCellMar>
            <w:top w:w="0" w:type="dxa"/>
            <w:left w:w="28" w:type="dxa"/>
            <w:bottom w:w="0" w:type="dxa"/>
            <w:right w:w="28" w:type="dxa"/>
          </w:tblCellMar>
        </w:tblPrEx>
        <w:trPr>
          <w:trHeight w:val="680" w:hRule="atLeast"/>
          <w:jc w:val="center"/>
        </w:trPr>
        <w:tc>
          <w:tcPr>
            <w:tcW w:w="3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②</w:t>
            </w:r>
            <w:r>
              <w:rPr>
                <w:rFonts w:ascii="Times New Roman" w:hAnsi="Times New Roman" w:eastAsia="宋体" w:cs="Times New Roman"/>
                <w:color w:val="000000" w:themeColor="text1"/>
                <w:kern w:val="0"/>
                <w:sz w:val="20"/>
                <w:szCs w:val="20"/>
                <w14:textFill>
                  <w14:solidFill>
                    <w14:schemeClr w14:val="tx1"/>
                  </w14:solidFill>
                </w14:textFill>
              </w:rPr>
              <w:t>阳明大道</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长3.2公里</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45000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45000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4500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38000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10月份已铺设沥青路面2000米，正在进行亮化、绿化和排水设施的施工。</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鼎城城建投资有限公司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龙林云</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single" w:color="auto" w:sz="8" w:space="0"/>
              <w:bottom w:val="single" w:color="auto" w:sz="8" w:space="0"/>
              <w:right w:val="single" w:color="auto" w:sz="8"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力争完成路基及路面建设。</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安慈高速公路</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常德境内长98.63公里</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2016-2018</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1025100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100000</w:t>
            </w: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1985" w:type="dxa"/>
            <w:tcBorders>
              <w:top w:val="nil"/>
              <w:left w:val="nil"/>
              <w:bottom w:val="single" w:color="000000"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省交通厅正在招标</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市安慈办</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相关区县市政府</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彭德友</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沈习淼</w:t>
            </w:r>
          </w:p>
        </w:tc>
        <w:tc>
          <w:tcPr>
            <w:tcW w:w="2058"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省交通厅正在招标，重新更换业主。</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常安高速公路</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常德境内36.2公里</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竣工</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2010-2016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260000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8603</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39172</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正进行扫尾工程建设</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市高路办 </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相关区县市政府</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彭德友</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沈习淼</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竣工并完成年度投资计划</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黔张常铁路</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常德境内100.5公里</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2015-2020</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省投</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1100000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12930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1E+05</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正在架梁铺轨</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市铁路办 </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相关区县市政府</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胡世满</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沈习淼</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完成年度投资计划</w:t>
            </w:r>
          </w:p>
        </w:tc>
      </w:tr>
      <w:tr>
        <w:tblPrEx>
          <w:tblLayout w:type="fixed"/>
          <w:tblCellMar>
            <w:top w:w="0" w:type="dxa"/>
            <w:left w:w="28" w:type="dxa"/>
            <w:bottom w:w="0" w:type="dxa"/>
            <w:right w:w="28" w:type="dxa"/>
          </w:tblCellMar>
        </w:tblPrEx>
        <w:trPr>
          <w:trHeight w:val="680" w:hRule="atLeast"/>
          <w:jc w:val="center"/>
        </w:trPr>
        <w:tc>
          <w:tcPr>
            <w:tcW w:w="3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w:t>
            </w:r>
          </w:p>
        </w:tc>
        <w:tc>
          <w:tcPr>
            <w:tcW w:w="496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丹洲、长岭、澧水三座大桥</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沈习淼</w:t>
            </w:r>
          </w:p>
        </w:tc>
        <w:tc>
          <w:tcPr>
            <w:tcW w:w="2058" w:type="dxa"/>
            <w:tcBorders>
              <w:top w:val="nil"/>
              <w:left w:val="nil"/>
              <w:bottom w:val="nil"/>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r>
      <w:tr>
        <w:tblPrEx>
          <w:tblLayout w:type="fixed"/>
          <w:tblCellMar>
            <w:top w:w="0" w:type="dxa"/>
            <w:left w:w="28" w:type="dxa"/>
            <w:bottom w:w="0" w:type="dxa"/>
            <w:right w:w="28" w:type="dxa"/>
          </w:tblCellMar>
        </w:tblPrEx>
        <w:trPr>
          <w:trHeight w:val="4231" w:hRule="atLeast"/>
          <w:jc w:val="center"/>
        </w:trPr>
        <w:tc>
          <w:tcPr>
            <w:tcW w:w="3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①</w:t>
            </w:r>
            <w:r>
              <w:rPr>
                <w:rFonts w:ascii="Times New Roman" w:hAnsi="Times New Roman" w:eastAsia="宋体" w:cs="Times New Roman"/>
                <w:color w:val="000000" w:themeColor="text1"/>
                <w:kern w:val="0"/>
                <w:sz w:val="20"/>
                <w:szCs w:val="20"/>
                <w14:textFill>
                  <w14:solidFill>
                    <w14:schemeClr w14:val="tx1"/>
                  </w14:solidFill>
                </w14:textFill>
              </w:rPr>
              <w:t>G319G207常德城区段改线（含沅水四桥）</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长34.67公里，按一级公路标准建设</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2014-2017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国省补助</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161814</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29000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4870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32130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6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1、路基完成土石方12万立方米，围山沟1号桥完成铰缝及铺装、护栏12米，枉水大桥T梁预制44片, 草坪村中桥桥面铺装完成；2、沅水四桥完成16#墩、20#墩的0#块托架安装，18#墩0#块完成第二次浇筑和1#块浇筑，17#完成墩身两次浇筑，19#墩完成墩身四次浇筑。北引桥完成8根墩身砼浇筑、承台6个、横撑4根，南岸引桥完成15根桩基。</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市交建投集团公司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谢志坚</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完成投资2.9亿元，进行路基、桥梁、涵洞建设</w:t>
            </w:r>
          </w:p>
        </w:tc>
      </w:tr>
      <w:tr>
        <w:tblPrEx>
          <w:tblLayout w:type="fixed"/>
          <w:tblCellMar>
            <w:top w:w="0" w:type="dxa"/>
            <w:left w:w="28" w:type="dxa"/>
            <w:bottom w:w="0" w:type="dxa"/>
            <w:right w:w="28" w:type="dxa"/>
          </w:tblCellMar>
        </w:tblPrEx>
        <w:trPr>
          <w:trHeight w:val="680" w:hRule="atLeast"/>
          <w:jc w:val="center"/>
        </w:trPr>
        <w:tc>
          <w:tcPr>
            <w:tcW w:w="337" w:type="dxa"/>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②</w:t>
            </w:r>
            <w:r>
              <w:rPr>
                <w:rFonts w:ascii="Times New Roman" w:hAnsi="Times New Roman" w:eastAsia="宋体" w:cs="Times New Roman"/>
                <w:color w:val="000000" w:themeColor="text1"/>
                <w:kern w:val="0"/>
                <w:sz w:val="20"/>
                <w:szCs w:val="20"/>
                <w14:textFill>
                  <w14:solidFill>
                    <w14:schemeClr w14:val="tx1"/>
                  </w14:solidFill>
                </w14:textFill>
              </w:rPr>
              <w:t>长岭大桥</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长3.09公里（包括接线1.44公里）</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43650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12400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完成桩基196根、系梁63榀、承台6座、墩柱65根、盖梁25道。</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安乡迅达路桥责任有限公司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杨子典 </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完成投资1.5亿元，进行连续梁建设</w:t>
            </w:r>
          </w:p>
        </w:tc>
      </w:tr>
      <w:tr>
        <w:tblPrEx>
          <w:tblLayout w:type="fixed"/>
          <w:tblCellMar>
            <w:top w:w="0" w:type="dxa"/>
            <w:left w:w="28" w:type="dxa"/>
            <w:bottom w:w="0" w:type="dxa"/>
            <w:right w:w="28" w:type="dxa"/>
          </w:tblCellMar>
        </w:tblPrEx>
        <w:trPr>
          <w:trHeight w:val="680" w:hRule="atLeast"/>
          <w:jc w:val="center"/>
        </w:trPr>
        <w:tc>
          <w:tcPr>
            <w:tcW w:w="337" w:type="dxa"/>
            <w:vMerge w:val="continue"/>
            <w:tcBorders>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③</w:t>
            </w:r>
            <w:r>
              <w:rPr>
                <w:rFonts w:ascii="Times New Roman" w:hAnsi="Times New Roman" w:eastAsia="宋体" w:cs="Times New Roman"/>
                <w:color w:val="000000" w:themeColor="text1"/>
                <w:kern w:val="0"/>
                <w:sz w:val="20"/>
                <w:szCs w:val="20"/>
                <w14:textFill>
                  <w14:solidFill>
                    <w14:schemeClr w14:val="tx1"/>
                  </w14:solidFill>
                </w14:textFill>
              </w:rPr>
              <w:t>澧水二桥</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长6.1公里（包括接线4.58公里）</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2015-2018</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国投</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32126</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9300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主体工程建设</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津市市交通局</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朱国贵</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完成桥墩主体工程建设</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柳叶大道西延线</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长10.9公里</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2014-2017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175847</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45000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12070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54888</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道路工程：主道除规划七路-九路未摊铺底层和面层沥青，其余部分均已完成沥青摊铺，辅道基本完成土方回填。桥梁工程：已基本完成全部主线桥梁；绿化工程：完成绿化种植30% 连接线段：1、道路工程：主道除党校立交右幅约500米未摊铺沥青面层，完成其他部分沥青摊铺，辅道已完成土方填筑，已完成水稳摊铺30%，</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市城建投集团公司 </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市西城公司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方际三</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涂义文</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10月1日主线已经通车，年内完成辅道建设。</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9</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常益长高铁</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常益长高铁自常德引出，经德山、汉寿、桃江、益阳、宁乡至长沙，线路全长157.07公里，设计时速350公里,预计投资231亿元，建设工期48个月（铁四院提供）</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前期</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2017-2020</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国投</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2310000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于六月初完成踏勘任务，中铁四院已全面进入初步设计阶段，接下来进行初步设计方案核实和批审。</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市铁路办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陈秋林 </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刘  明  </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沈习淼</w:t>
            </w:r>
          </w:p>
        </w:tc>
        <w:tc>
          <w:tcPr>
            <w:tcW w:w="2058"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益长高铁建设项目，由于市委市政府的高度重视，早在年前就进入了前期工作阶段，常德市铁办根据市委、市政府的要求，以快速推进常益长高铁建设速度为中心的工作思路，以协调为主要职责，主要协调设计方——铁四院的设计要求与地方利益的矛盾。从春节前开始，铁办主动多次联系铁四院，要求在可能的情况下，尽量满足地方所求，做了扎实地、多次地协调工作，年后，铁办集中精力，分别与江北城区、经开区和汉寿县及相关部门进行走访摸底，并要求在条件允许的前提下，就“站点设置、线性定位”提出中肯合理的地方所求，然后联系铁四院进行多次反复对接协调。四月初进入工程踏勘阶段后，铁办及时对接协调，主动搞好服务，及时索取相关资料，于六月初顺利完成现场踏勘工作任务，工程进入初步设计阶段，基本上达到了预期效果。后期的工作，主要是由铁四院拟定初步设计方案、方案审查、方案审批工作时期（定测、初步设计的时间为4——12个月），铁办的工作处于被动状态，力求变被动为主动，做了很多扎实的协调工作，争取2017年上半年动工。</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益常高速公路复线</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目前已纳入省高速公路建设计划，并启动前期工作。由于该项目建设业主为省交通运输主管部门，工可报告尚未编制评审，暂无法确定建设里程、投资估算。</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前期</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2016-2020</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待定</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于六月初完成踏勘任务，中铁四院已全面进入初步设计阶段，接下来就是初步设计方案核实和批审。</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市交通运输局</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向美华</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刘  明  </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沈习淼</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力争年底完成工可研报告编制</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二</w:t>
            </w:r>
          </w:p>
        </w:tc>
        <w:tc>
          <w:tcPr>
            <w:tcW w:w="496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十大产业项目（10个）</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6934000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11</w:t>
            </w:r>
          </w:p>
        </w:tc>
        <w:tc>
          <w:tcPr>
            <w:tcW w:w="1003"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华侨城二期（华侨城常德欢乐谷)</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1130亩水公园、陆地公园建设</w:t>
            </w:r>
          </w:p>
        </w:tc>
        <w:tc>
          <w:tcPr>
            <w:tcW w:w="56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p>
        </w:tc>
        <w:tc>
          <w:tcPr>
            <w:tcW w:w="92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2014-2018</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2060</w:t>
            </w:r>
          </w:p>
        </w:tc>
        <w:tc>
          <w:tcPr>
            <w:tcW w:w="1985" w:type="dxa"/>
            <w:tcBorders>
              <w:top w:val="nil"/>
              <w:left w:val="nil"/>
              <w:bottom w:val="single" w:color="000000"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水公园二期提质：完成遮阴系统、售票处、化妆间、造浪池等改造；完成设备终端池、造浪池、漂流河池底底壁聚脲施工；完成办公楼改造，山上宿舍改造；花海：已完工。</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市经建投集团        常德金柳公司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刘凡荣</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傅愚山</w:t>
            </w:r>
            <w:r>
              <w:rPr>
                <w:rFonts w:ascii="Times New Roman" w:hAnsi="Times New Roman" w:eastAsia="宋体" w:cs="Times New Roman"/>
                <w:color w:val="000000" w:themeColor="text1"/>
                <w:kern w:val="0"/>
                <w:sz w:val="20"/>
                <w:szCs w:val="20"/>
                <w14:textFill>
                  <w14:solidFill>
                    <w14:schemeClr w14:val="tx1"/>
                  </w14:solidFill>
                </w14:textFill>
              </w:rPr>
              <w:br w:type="page"/>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10.18开工。年底完成陆公园的三通一平。</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华南光电德山智慧产业园</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新建安防设备生产基地</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165000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9830</w:t>
            </w:r>
          </w:p>
        </w:tc>
        <w:tc>
          <w:tcPr>
            <w:tcW w:w="1985" w:type="dxa"/>
            <w:tcBorders>
              <w:top w:val="nil"/>
              <w:left w:val="nil"/>
              <w:bottom w:val="nil"/>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湖南华南光电科技股份有限公司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李  霞</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沈习淼</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投资方总部审批未果，项目一直停滞不前，已退出市重点工程。</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13</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汉能光伏一期</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新建300WM铜铟镓硒柔性薄膜太阳能电池生产线</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180000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20500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1E+05</w:t>
            </w:r>
          </w:p>
        </w:tc>
        <w:tc>
          <w:tcPr>
            <w:tcW w:w="1985" w:type="dxa"/>
            <w:tcBorders>
              <w:top w:val="single" w:color="000000" w:sz="4" w:space="0"/>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总建筑面积80000平米，包括1栋主体厂房，1栋办公楼，2栋仓库，2栋员工宿舍共6栋建筑均已封顶，正在进行内部装修。</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常德汉能薄膜太阳能科技有限公司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刘洪革</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沈习淼</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完成年度投资计划</w:t>
            </w:r>
          </w:p>
        </w:tc>
      </w:tr>
      <w:tr>
        <w:tblPrEx>
          <w:tblLayout w:type="fixed"/>
          <w:tblCellMar>
            <w:top w:w="0" w:type="dxa"/>
            <w:left w:w="28" w:type="dxa"/>
            <w:bottom w:w="0" w:type="dxa"/>
            <w:right w:w="28" w:type="dxa"/>
          </w:tblCellMar>
        </w:tblPrEx>
        <w:trPr>
          <w:trHeight w:val="877"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14</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中联重科起重机械生产基地</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新建20万平米标准化厂房和综合楼</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2016-2019</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3500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26500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1-10月份完成标准化厂房建设30000平方米、购置设备等。</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中联重科常德分公司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李进华</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沈习淼</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完成年度投资计划</w:t>
            </w:r>
          </w:p>
        </w:tc>
      </w:tr>
      <w:tr>
        <w:tblPrEx>
          <w:tblLayout w:type="fixed"/>
          <w:tblCellMar>
            <w:top w:w="0" w:type="dxa"/>
            <w:left w:w="28" w:type="dxa"/>
            <w:bottom w:w="0" w:type="dxa"/>
            <w:right w:w="28" w:type="dxa"/>
          </w:tblCellMar>
        </w:tblPrEx>
        <w:trPr>
          <w:trHeight w:val="1518"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芙蓉王现代新城</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新建年产160万箱卷烟生产线</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2013-2018</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809000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101766</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1826</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8884</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建筑桩基础全部完成，基础工程及地下工程完成50%以上，主体工程相继进入流水施工阶段</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常德卷烟厂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彭中雷</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沈习淼</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开始主体工程建设</w:t>
            </w:r>
          </w:p>
        </w:tc>
      </w:tr>
      <w:tr>
        <w:tblPrEx>
          <w:tblLayout w:type="fixed"/>
          <w:tblCellMar>
            <w:top w:w="0" w:type="dxa"/>
            <w:left w:w="28" w:type="dxa"/>
            <w:bottom w:w="0" w:type="dxa"/>
            <w:right w:w="28" w:type="dxa"/>
          </w:tblCellMar>
        </w:tblPrEx>
        <w:trPr>
          <w:trHeight w:val="1524"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16</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高端新材料工业园</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新建交通运输、电子电力、机械装备、航空航天等领域工业型材加工生产线</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2015-2020</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8000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曾亚斌</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沈习淼</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已草签了项目合作协议，目前正在按草签协议约定内容进行前期准备工作，暂未动工。</w:t>
            </w:r>
          </w:p>
        </w:tc>
      </w:tr>
      <w:tr>
        <w:tblPrEx>
          <w:tblLayout w:type="fixed"/>
          <w:tblCellMar>
            <w:top w:w="0" w:type="dxa"/>
            <w:left w:w="28" w:type="dxa"/>
            <w:bottom w:w="0" w:type="dxa"/>
            <w:right w:w="28" w:type="dxa"/>
          </w:tblCellMar>
        </w:tblPrEx>
        <w:trPr>
          <w:trHeight w:val="5402"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17</w:t>
            </w:r>
          </w:p>
        </w:tc>
        <w:tc>
          <w:tcPr>
            <w:tcW w:w="1003"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华大基因常德产业园</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建立分子育种</w:t>
            </w:r>
            <w:bookmarkStart w:id="0" w:name="_GoBack"/>
            <w:bookmarkEnd w:id="0"/>
            <w:r>
              <w:rPr>
                <w:rFonts w:ascii="Times New Roman" w:hAnsi="Times New Roman" w:eastAsia="宋体" w:cs="Times New Roman"/>
                <w:color w:val="000000" w:themeColor="text1"/>
                <w:kern w:val="0"/>
                <w:sz w:val="20"/>
                <w:szCs w:val="20"/>
                <w14:textFill>
                  <w14:solidFill>
                    <w14:schemeClr w14:val="tx1"/>
                  </w14:solidFill>
                </w14:textFill>
              </w:rPr>
              <w:t>中心，基因检测中心，生命健康产业园；开展人才培训，医疗技术合作（基因检测，基因诊断，新生儿出生缺陷预防，精子医疗）</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前期</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2016-2025</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待定</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华大在汉寿投资启动2个子项目分别是基因检测取样和水产品集装箱养殖扶贫项目。目前，基因检测取样已启动,在汉寿设置2个取样点，已完成600多人取样工作并已送至总公司保存；集装箱项目已完成基地基础设施建设；</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投资方要求增加股东，正在积极洽谈，基因项目基本已落定；扶贫水产集装箱养殖项目要带新股东到位后，开会确定养殖水产形式及方向,目前未有新进展。</w:t>
            </w:r>
            <w:r>
              <w:rPr>
                <w:rFonts w:ascii="Times New Roman" w:hAnsi="Times New Roman" w:eastAsia="宋体" w:cs="Times New Roman"/>
                <w:color w:val="000000" w:themeColor="text1"/>
                <w:kern w:val="0"/>
                <w:sz w:val="20"/>
                <w:szCs w:val="20"/>
                <w14:textFill>
                  <w14:solidFill>
                    <w14:schemeClr w14:val="tx1"/>
                  </w14:solidFill>
                </w14:textFill>
              </w:rPr>
              <w:br w:type="page"/>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市科技局</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汉寿县人民政府</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马慧</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杨昶</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朱晓平</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年度目标启动2个子基因检测取样和水产品集装箱养殖扶贫项目。目前，基因检测取样已启动,在汉寿设置2个取样点，已完成600多人取样工作并已送至总公司保存；集装箱项目已完成基地基础设施建设</w:t>
            </w:r>
            <w:r>
              <w:rPr>
                <w:rFonts w:ascii="Times New Roman" w:hAnsi="Times New Roman" w:eastAsia="宋体" w:cs="Times New Roman"/>
                <w:color w:val="000000" w:themeColor="text1"/>
                <w:kern w:val="0"/>
                <w:sz w:val="20"/>
                <w:szCs w:val="20"/>
                <w14:textFill>
                  <w14:solidFill>
                    <w14:schemeClr w14:val="tx1"/>
                  </w14:solidFill>
                </w14:textFill>
              </w:rPr>
              <w:br w:type="page"/>
            </w:r>
          </w:p>
        </w:tc>
      </w:tr>
      <w:tr>
        <w:tblPrEx>
          <w:tblLayout w:type="fixed"/>
          <w:tblCellMar>
            <w:top w:w="0" w:type="dxa"/>
            <w:left w:w="28" w:type="dxa"/>
            <w:bottom w:w="0" w:type="dxa"/>
            <w:right w:w="28" w:type="dxa"/>
          </w:tblCellMar>
        </w:tblPrEx>
        <w:trPr>
          <w:trHeight w:val="1943" w:hRule="atLeast"/>
          <w:jc w:val="center"/>
        </w:trPr>
        <w:tc>
          <w:tcPr>
            <w:tcW w:w="3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18</w:t>
            </w:r>
          </w:p>
        </w:tc>
        <w:tc>
          <w:tcPr>
            <w:tcW w:w="100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新能源汽车产业园</w:t>
            </w:r>
          </w:p>
        </w:tc>
        <w:tc>
          <w:tcPr>
            <w:tcW w:w="198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①</w:t>
            </w:r>
            <w:r>
              <w:rPr>
                <w:rFonts w:ascii="Times New Roman" w:hAnsi="Times New Roman" w:eastAsia="宋体" w:cs="Times New Roman"/>
                <w:color w:val="000000" w:themeColor="text1"/>
                <w:kern w:val="0"/>
                <w:sz w:val="20"/>
                <w:szCs w:val="20"/>
                <w14:textFill>
                  <w14:solidFill>
                    <w14:schemeClr w14:val="tx1"/>
                  </w14:solidFill>
                </w14:textFill>
              </w:rPr>
              <w:t>经开区公交大巴与新能源汽车生产项目:规划用地面积500亩，大汉集团与时代电动进行战略合作，在现有资源的基础上，建设客车、随车起重运输车生产线及配套</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前期</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2015-2019</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正在进行配套生产</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经开区管委会</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李育智</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朱水平 沈习淼</w:t>
            </w:r>
          </w:p>
        </w:tc>
        <w:tc>
          <w:tcPr>
            <w:tcW w:w="205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目前已完成土地挂牌，正在进行配套生产，已累计投资300万元，预计年底前能完成投资500万元</w:t>
            </w:r>
          </w:p>
        </w:tc>
      </w:tr>
      <w:tr>
        <w:tblPrEx>
          <w:tblLayout w:type="fixed"/>
          <w:tblCellMar>
            <w:top w:w="0" w:type="dxa"/>
            <w:left w:w="28" w:type="dxa"/>
            <w:bottom w:w="0" w:type="dxa"/>
            <w:right w:w="28" w:type="dxa"/>
          </w:tblCellMar>
        </w:tblPrEx>
        <w:trPr>
          <w:trHeight w:val="680"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②</w:t>
            </w:r>
            <w:r>
              <w:rPr>
                <w:rFonts w:ascii="Times New Roman" w:hAnsi="Times New Roman" w:eastAsia="宋体" w:cs="Times New Roman"/>
                <w:color w:val="000000" w:themeColor="text1"/>
                <w:kern w:val="0"/>
                <w:sz w:val="20"/>
                <w:szCs w:val="20"/>
                <w14:textFill>
                  <w14:solidFill>
                    <w14:schemeClr w14:val="tx1"/>
                  </w14:solidFill>
                </w14:textFill>
              </w:rPr>
              <w:t>经开区电动汽车生产项目:项目首期规划用地150亩，建设纯电动汽车生产项目</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前期</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2016-2020</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400</w:t>
            </w: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正在进行配套生产</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经开区管委会</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李育智</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朱水平 沈习淼</w:t>
            </w:r>
          </w:p>
        </w:tc>
        <w:tc>
          <w:tcPr>
            <w:tcW w:w="205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19</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溢多利生物二期</w:t>
            </w:r>
          </w:p>
        </w:tc>
        <w:tc>
          <w:tcPr>
            <w:tcW w:w="198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占地4500亩，总建筑面积40万平方米，引进20家规模以上生物及生物制药企业，新合新二期年产225吨甾体激素原料药GMP扩建，建成年产值过100亿元的生物医药产业集群</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前期</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2016-2020</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9500</w:t>
            </w: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完成土地平整900亩，兼并企业3家，新合新二期试生产</w:t>
            </w:r>
          </w:p>
        </w:tc>
        <w:tc>
          <w:tcPr>
            <w:tcW w:w="1134"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津市市政府</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陈章杰</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沈习淼</w:t>
            </w:r>
          </w:p>
        </w:tc>
        <w:tc>
          <w:tcPr>
            <w:tcW w:w="205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完成土地平整900亩，兼并企业3家，新合新二期竣工投产，预计投资1亿元。2017年，计划投资5亿元，扩建生物酶制剂和植物提取物生产线、生物医药及特色医药原料药基地，扩大生产规模，提升企业竞争力</w:t>
            </w:r>
          </w:p>
        </w:tc>
      </w:tr>
      <w:tr>
        <w:tblPrEx>
          <w:tblLayout w:type="fixed"/>
          <w:tblCellMar>
            <w:top w:w="0" w:type="dxa"/>
            <w:left w:w="28" w:type="dxa"/>
            <w:bottom w:w="0" w:type="dxa"/>
            <w:right w:w="28" w:type="dxa"/>
          </w:tblCellMar>
        </w:tblPrEx>
        <w:trPr>
          <w:trHeight w:val="3294"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生命科学与健康产业园</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选址柳叶湖，建设中医药一条街、生态社区与健康养老区、太阳谷国际颐养中心等项目</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前期</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2016-2023</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198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总规划已出。我委积极与国药集团、上海复星集团、华大基因、湖南圣湘、益丰药房、力源检验等公司对接产业项目。5月17日，我市正式与国药集团签约，市一中医院建设项目、中医药配方颗粒生产线、医养综合体三个项目正式启动。益丰大药房、华大基因已落户。</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市卫计委</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洪振海</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陈 华</w:t>
            </w:r>
          </w:p>
        </w:tc>
        <w:tc>
          <w:tcPr>
            <w:tcW w:w="205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已拿出总规，积极与国药集团、上海复星集团、华大基因、湖南圣湘、益丰药房、力源检验等公司对接产业项目。5月17日，我市正式与国药集团签约，市一中医院建设项目、中医药配方颗粒生产线、医养综合体三个项目正式启动。益丰大药房、华大基因已落户。</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三</w:t>
            </w:r>
          </w:p>
        </w:tc>
        <w:tc>
          <w:tcPr>
            <w:tcW w:w="298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十张名片（10个）</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2097084</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r>
      <w:tr>
        <w:tblPrEx>
          <w:tblLayout w:type="fixed"/>
          <w:tblCellMar>
            <w:top w:w="0" w:type="dxa"/>
            <w:left w:w="28" w:type="dxa"/>
            <w:bottom w:w="0" w:type="dxa"/>
            <w:right w:w="28" w:type="dxa"/>
          </w:tblCellMar>
        </w:tblPrEx>
        <w:trPr>
          <w:trHeight w:val="680" w:hRule="atLeast"/>
          <w:jc w:val="center"/>
        </w:trPr>
        <w:tc>
          <w:tcPr>
            <w:tcW w:w="3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21</w:t>
            </w:r>
          </w:p>
        </w:tc>
        <w:tc>
          <w:tcPr>
            <w:tcW w:w="496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桃花源</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朱水平</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r>
      <w:tr>
        <w:tblPrEx>
          <w:tblLayout w:type="fixed"/>
          <w:tblCellMar>
            <w:top w:w="0" w:type="dxa"/>
            <w:left w:w="28" w:type="dxa"/>
            <w:bottom w:w="0" w:type="dxa"/>
            <w:right w:w="28" w:type="dxa"/>
          </w:tblCellMar>
        </w:tblPrEx>
        <w:trPr>
          <w:trHeight w:val="3819"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①</w:t>
            </w:r>
            <w:r>
              <w:rPr>
                <w:rFonts w:ascii="Times New Roman" w:hAnsi="Times New Roman" w:eastAsia="宋体" w:cs="Times New Roman"/>
                <w:color w:val="000000" w:themeColor="text1"/>
                <w:kern w:val="0"/>
                <w:sz w:val="20"/>
                <w:szCs w:val="20"/>
                <w14:textFill>
                  <w14:solidFill>
                    <w14:schemeClr w14:val="tx1"/>
                  </w14:solidFill>
                </w14:textFill>
              </w:rPr>
              <w:t>世外桃源文化古镇建设工程</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新建衙门、城隍庙、文庙等文化旅游景观及配套设施</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竣工</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2013-2016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400000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280000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31000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3E+05</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桃花源古镇项目二期1#地块工程累计完成形象进度90%，正在进行门窗装饰施工；2#地块工程累计完成形象进度88%，正在进行门窗施工；3#地块工程累计完成形象进度79%，正在进行装饰及门窗施工；4#地块工程累计完成形象进度57%，正在进行装饰及门窗施工。</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文旅投公司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刘腾波</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完成全部主体工程，主、次大街装修完成，组团内建筑装修同步进行，路网、停车场、照明等基础设施建设全部完成。</w:t>
            </w:r>
          </w:p>
        </w:tc>
      </w:tr>
      <w:tr>
        <w:tblPrEx>
          <w:tblLayout w:type="fixed"/>
          <w:tblCellMar>
            <w:top w:w="0" w:type="dxa"/>
            <w:left w:w="28" w:type="dxa"/>
            <w:bottom w:w="0" w:type="dxa"/>
            <w:right w:w="28" w:type="dxa"/>
          </w:tblCellMar>
        </w:tblPrEx>
        <w:trPr>
          <w:trHeight w:val="3392"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②</w:t>
            </w:r>
            <w:r>
              <w:rPr>
                <w:rFonts w:ascii="Times New Roman" w:hAnsi="Times New Roman" w:eastAsia="宋体" w:cs="Times New Roman"/>
                <w:color w:val="000000" w:themeColor="text1"/>
                <w:kern w:val="0"/>
                <w:sz w:val="20"/>
                <w:szCs w:val="20"/>
                <w14:textFill>
                  <w14:solidFill>
                    <w14:schemeClr w14:val="tx1"/>
                  </w14:solidFill>
                </w14:textFill>
              </w:rPr>
              <w:t>桃花源秦谷建设工程</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新建动态文化展示区、互动文化体验区、主体文化休闲区3个区域内景观及配套设施</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竣工</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单位自筹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27550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25000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21850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秦谷景观工程项目完成总体形象进度的71%。其中，游客中心广场，累计完成90%；洞天驿馆正在进行室外地面施工，累计完成85%；颐鼎居主体结构施工，累计完成90%；电瓶车中转站主体柱结构施工80%；道路路基施工累计完成85%。</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文旅投公司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刘腾波</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房建安装扫尾，主路面铺装完成90%，园建完成95%，绿化完成95%</w:t>
            </w:r>
          </w:p>
        </w:tc>
      </w:tr>
      <w:tr>
        <w:tblPrEx>
          <w:tblLayout w:type="fixed"/>
          <w:tblCellMar>
            <w:top w:w="0" w:type="dxa"/>
            <w:left w:w="28" w:type="dxa"/>
            <w:bottom w:w="0" w:type="dxa"/>
            <w:right w:w="28" w:type="dxa"/>
          </w:tblCellMar>
        </w:tblPrEx>
        <w:trPr>
          <w:trHeight w:val="1235" w:hRule="atLeast"/>
          <w:jc w:val="center"/>
        </w:trPr>
        <w:tc>
          <w:tcPr>
            <w:tcW w:w="3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21</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③</w:t>
            </w:r>
            <w:r>
              <w:rPr>
                <w:rFonts w:ascii="Times New Roman" w:hAnsi="Times New Roman" w:eastAsia="宋体" w:cs="Times New Roman"/>
                <w:color w:val="000000" w:themeColor="text1"/>
                <w:kern w:val="0"/>
                <w:sz w:val="20"/>
                <w:szCs w:val="20"/>
                <w14:textFill>
                  <w14:solidFill>
                    <w14:schemeClr w14:val="tx1"/>
                  </w14:solidFill>
                </w14:textFill>
              </w:rPr>
              <w:t>桃花源桃源山提质改造工程</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道路、绿化、建筑等景观及配套设施建设</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改建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单位自筹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5915</w:t>
            </w:r>
          </w:p>
        </w:tc>
        <w:tc>
          <w:tcPr>
            <w:tcW w:w="77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18000</w:t>
            </w:r>
          </w:p>
        </w:tc>
        <w:tc>
          <w:tcPr>
            <w:tcW w:w="677" w:type="dxa"/>
            <w:vMerge w:val="restart"/>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800</w:t>
            </w:r>
          </w:p>
        </w:tc>
        <w:tc>
          <w:tcPr>
            <w:tcW w:w="65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16650</w:t>
            </w:r>
          </w:p>
        </w:tc>
        <w:tc>
          <w:tcPr>
            <w:tcW w:w="198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桃花山：桃花山景园、上山游步道、御碑池木栈道正在进行改造；桃源山：1#、4#、6#楼、八卦台卫生间、木栈道正在进行主体施工。</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文旅投公司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刘腾波</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朱水平</w:t>
            </w:r>
          </w:p>
        </w:tc>
        <w:tc>
          <w:tcPr>
            <w:tcW w:w="205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基本完成主体工程</w:t>
            </w:r>
          </w:p>
        </w:tc>
      </w:tr>
      <w:tr>
        <w:tblPrEx>
          <w:tblLayout w:type="fixed"/>
          <w:tblCellMar>
            <w:top w:w="0" w:type="dxa"/>
            <w:left w:w="28" w:type="dxa"/>
            <w:bottom w:w="0" w:type="dxa"/>
            <w:right w:w="28" w:type="dxa"/>
          </w:tblCellMar>
        </w:tblPrEx>
        <w:trPr>
          <w:trHeight w:val="952"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④</w:t>
            </w:r>
            <w:r>
              <w:rPr>
                <w:rFonts w:ascii="Times New Roman" w:hAnsi="Times New Roman" w:eastAsia="宋体" w:cs="Times New Roman"/>
                <w:color w:val="000000" w:themeColor="text1"/>
                <w:kern w:val="0"/>
                <w:sz w:val="20"/>
                <w:szCs w:val="20"/>
                <w14:textFill>
                  <w14:solidFill>
                    <w14:schemeClr w14:val="tx1"/>
                  </w14:solidFill>
                </w14:textFill>
              </w:rPr>
              <w:t>桃花山提质改造工程</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道路、绿化、建筑等景观及配套设施建设</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改建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单位自筹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11855</w:t>
            </w:r>
          </w:p>
        </w:tc>
        <w:tc>
          <w:tcPr>
            <w:tcW w:w="7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vMerge w:val="continue"/>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文旅投公司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刘腾波</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r>
      <w:tr>
        <w:tblPrEx>
          <w:tblLayout w:type="fixed"/>
          <w:tblCellMar>
            <w:top w:w="0" w:type="dxa"/>
            <w:left w:w="28" w:type="dxa"/>
            <w:bottom w:w="0" w:type="dxa"/>
            <w:right w:w="28" w:type="dxa"/>
          </w:tblCellMar>
        </w:tblPrEx>
        <w:trPr>
          <w:trHeight w:val="1660"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⑤</w:t>
            </w:r>
            <w:r>
              <w:rPr>
                <w:rFonts w:ascii="Times New Roman" w:hAnsi="Times New Roman" w:eastAsia="宋体" w:cs="Times New Roman"/>
                <w:color w:val="000000" w:themeColor="text1"/>
                <w:kern w:val="0"/>
                <w:sz w:val="20"/>
                <w:szCs w:val="20"/>
                <w14:textFill>
                  <w14:solidFill>
                    <w14:schemeClr w14:val="tx1"/>
                  </w14:solidFill>
                </w14:textFill>
              </w:rPr>
              <w:t>桃花源秦溪建设工程</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景观、亲水栈道、河道整治及电瓶车道建设</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单位自筹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27345</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16300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秦溪景观工程项目完成总体形象进度的80%，正在进行山水堆岛、水坝水车、五柳码头及电瓶车道施工。</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文旅投公司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刘腾波</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基本完成主体工程</w:t>
            </w:r>
          </w:p>
        </w:tc>
      </w:tr>
      <w:tr>
        <w:tblPrEx>
          <w:tblLayout w:type="fixed"/>
          <w:tblCellMar>
            <w:top w:w="0" w:type="dxa"/>
            <w:left w:w="28" w:type="dxa"/>
            <w:bottom w:w="0" w:type="dxa"/>
            <w:right w:w="28" w:type="dxa"/>
          </w:tblCellMar>
        </w:tblPrEx>
        <w:trPr>
          <w:trHeight w:val="2466"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⑥</w:t>
            </w:r>
            <w:r>
              <w:rPr>
                <w:rFonts w:ascii="Times New Roman" w:hAnsi="Times New Roman" w:eastAsia="宋体" w:cs="Times New Roman"/>
                <w:color w:val="000000" w:themeColor="text1"/>
                <w:kern w:val="0"/>
                <w:sz w:val="20"/>
                <w:szCs w:val="20"/>
                <w14:textFill>
                  <w14:solidFill>
                    <w14:schemeClr w14:val="tx1"/>
                  </w14:solidFill>
                </w14:textFill>
              </w:rPr>
              <w:t>桃花源五柳小镇建设工程</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对186户民众住宅及配套设施进行升级改造</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改建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单位自筹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10150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8400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五柳小镇中房公司已完成总体形象进度的50%正在进行游客中心和五柳大院的主体及砌体结构施工，安置小区房屋基础施工,游客中心及停车场植草砖施工。</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文旅投公司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刘腾波</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基本完成主体工程</w:t>
            </w:r>
          </w:p>
        </w:tc>
      </w:tr>
      <w:tr>
        <w:tblPrEx>
          <w:tblLayout w:type="fixed"/>
          <w:tblCellMar>
            <w:top w:w="0" w:type="dxa"/>
            <w:left w:w="28" w:type="dxa"/>
            <w:bottom w:w="0" w:type="dxa"/>
            <w:right w:w="28" w:type="dxa"/>
          </w:tblCellMar>
        </w:tblPrEx>
        <w:trPr>
          <w:trHeight w:val="1619"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桃花源“大型山水实景演出”文化建设工程</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新建景区内的旅游主题演出项目</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8750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正在进行秦溪基础设施建设及舞台搭建</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文旅投公司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刘腾波</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总体工程部分基本完成，剧本创作及舞台设计全部完成</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柳叶湖</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r>
      <w:tr>
        <w:tblPrEx>
          <w:tblLayout w:type="fixed"/>
          <w:tblCellMar>
            <w:top w:w="0" w:type="dxa"/>
            <w:left w:w="28" w:type="dxa"/>
            <w:bottom w:w="0" w:type="dxa"/>
            <w:right w:w="28" w:type="dxa"/>
          </w:tblCellMar>
        </w:tblPrEx>
        <w:trPr>
          <w:trHeight w:val="951" w:hRule="atLeast"/>
          <w:jc w:val="center"/>
        </w:trPr>
        <w:tc>
          <w:tcPr>
            <w:tcW w:w="3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22</w:t>
            </w:r>
          </w:p>
        </w:tc>
        <w:tc>
          <w:tcPr>
            <w:tcW w:w="100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柳叶湖景观工程</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柳叶诗韵</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改建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w:t>
            </w:r>
          </w:p>
        </w:tc>
        <w:tc>
          <w:tcPr>
            <w:tcW w:w="77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w:t>
            </w: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1500</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项目已完工</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柳叶湖管委会绿化管理处</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张少彬</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已完工</w:t>
            </w:r>
          </w:p>
        </w:tc>
      </w:tr>
      <w:tr>
        <w:tblPrEx>
          <w:tblLayout w:type="fixed"/>
          <w:tblCellMar>
            <w:top w:w="0" w:type="dxa"/>
            <w:left w:w="28" w:type="dxa"/>
            <w:bottom w:w="0" w:type="dxa"/>
            <w:right w:w="28" w:type="dxa"/>
          </w:tblCellMar>
        </w:tblPrEx>
        <w:trPr>
          <w:trHeight w:val="1232"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柳叶风帆</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改建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市自筹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w:t>
            </w:r>
          </w:p>
        </w:tc>
        <w:tc>
          <w:tcPr>
            <w:tcW w:w="7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497</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正在进行基础施工。</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常德柳叶湖旅游资产经营有限责任公司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马菱霞</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10月中旬全面建成</w:t>
            </w:r>
          </w:p>
        </w:tc>
      </w:tr>
      <w:tr>
        <w:tblPrEx>
          <w:tblLayout w:type="fixed"/>
          <w:tblCellMar>
            <w:top w:w="0" w:type="dxa"/>
            <w:left w:w="28" w:type="dxa"/>
            <w:bottom w:w="0" w:type="dxa"/>
            <w:right w:w="28" w:type="dxa"/>
          </w:tblCellMar>
        </w:tblPrEx>
        <w:trPr>
          <w:trHeight w:val="951"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柳毅传书</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1650</w:t>
            </w:r>
          </w:p>
        </w:tc>
        <w:tc>
          <w:tcPr>
            <w:tcW w:w="7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2000</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项目已完工。</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资产经营公司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马菱霞</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已完工</w:t>
            </w:r>
          </w:p>
        </w:tc>
      </w:tr>
      <w:tr>
        <w:tblPrEx>
          <w:tblLayout w:type="fixed"/>
          <w:tblCellMar>
            <w:top w:w="0" w:type="dxa"/>
            <w:left w:w="28" w:type="dxa"/>
            <w:bottom w:w="0" w:type="dxa"/>
            <w:right w:w="28" w:type="dxa"/>
          </w:tblCellMar>
        </w:tblPrEx>
        <w:trPr>
          <w:trHeight w:val="1400"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白鹤仙踪</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前期</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2017-2020</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100000</w:t>
            </w:r>
          </w:p>
        </w:tc>
        <w:tc>
          <w:tcPr>
            <w:tcW w:w="7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根据指挥部意见暂缓</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市经建投集团        常德金柳公司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刘凡荣</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傅愚山</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规划局还未确定规划方案</w:t>
            </w:r>
          </w:p>
        </w:tc>
      </w:tr>
      <w:tr>
        <w:tblPrEx>
          <w:tblLayout w:type="fixed"/>
          <w:tblCellMar>
            <w:top w:w="0" w:type="dxa"/>
            <w:left w:w="28" w:type="dxa"/>
            <w:bottom w:w="0" w:type="dxa"/>
            <w:right w:w="28" w:type="dxa"/>
          </w:tblCellMar>
        </w:tblPrEx>
        <w:trPr>
          <w:trHeight w:val="2617"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螺湾观鸟</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竣工</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w:t>
            </w:r>
          </w:p>
        </w:tc>
        <w:tc>
          <w:tcPr>
            <w:tcW w:w="7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400</w:t>
            </w:r>
          </w:p>
        </w:tc>
        <w:tc>
          <w:tcPr>
            <w:tcW w:w="658"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3158</w:t>
            </w: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已完成施工，准备预验收。</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市经建投集团        常德金柳公司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刘凡荣</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傅愚山</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鸟博物馆装修已完成，为营造鸟类动物生存环境的湿地吹填岛已完成60%，岛上植物已完成50%，水生植物已完成50%，计划年底完成生态环境的施工，鸟类动物招引第一期实施完成，明年完成全部施工。</w:t>
            </w:r>
          </w:p>
        </w:tc>
      </w:tr>
      <w:tr>
        <w:tblPrEx>
          <w:tblLayout w:type="fixed"/>
          <w:tblCellMar>
            <w:top w:w="0" w:type="dxa"/>
            <w:left w:w="28" w:type="dxa"/>
            <w:bottom w:w="0" w:type="dxa"/>
            <w:right w:w="28" w:type="dxa"/>
          </w:tblCellMar>
        </w:tblPrEx>
        <w:trPr>
          <w:trHeight w:val="1266"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柳叶之门</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w:t>
            </w:r>
          </w:p>
        </w:tc>
        <w:tc>
          <w:tcPr>
            <w:tcW w:w="7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市规划局已完成方案征集，正在组织内部方案评审。</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市经建投集团        常德金柳公司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刘凡荣</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傅愚山</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规划局还未确定规划方案</w:t>
            </w:r>
          </w:p>
        </w:tc>
      </w:tr>
      <w:tr>
        <w:tblPrEx>
          <w:tblLayout w:type="fixed"/>
          <w:tblCellMar>
            <w:top w:w="0" w:type="dxa"/>
            <w:left w:w="28" w:type="dxa"/>
            <w:bottom w:w="0" w:type="dxa"/>
            <w:right w:w="28" w:type="dxa"/>
          </w:tblCellMar>
        </w:tblPrEx>
        <w:trPr>
          <w:trHeight w:val="1235" w:hRule="atLeast"/>
          <w:jc w:val="center"/>
        </w:trPr>
        <w:tc>
          <w:tcPr>
            <w:tcW w:w="3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22</w:t>
            </w:r>
          </w:p>
        </w:tc>
        <w:tc>
          <w:tcPr>
            <w:tcW w:w="100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柳叶湖景观工程</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柳湖沙月</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竣工</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w:t>
            </w:r>
          </w:p>
        </w:tc>
        <w:tc>
          <w:tcPr>
            <w:tcW w:w="7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19000</w:t>
            </w: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已竣工</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市经建投集团        常德经为公司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刘凡荣</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伍千胜</w:t>
            </w:r>
            <w:r>
              <w:rPr>
                <w:rFonts w:ascii="Times New Roman" w:hAnsi="Times New Roman" w:eastAsia="宋体" w:cs="Times New Roman"/>
                <w:color w:val="000000" w:themeColor="text1"/>
                <w:kern w:val="0"/>
                <w:sz w:val="20"/>
                <w:szCs w:val="20"/>
                <w14:textFill>
                  <w14:solidFill>
                    <w14:schemeClr w14:val="tx1"/>
                  </w14:solidFill>
                </w14:textFill>
              </w:rPr>
              <w:br w:type="page"/>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已完工</w:t>
            </w:r>
          </w:p>
        </w:tc>
      </w:tr>
      <w:tr>
        <w:tblPrEx>
          <w:tblLayout w:type="fixed"/>
          <w:tblCellMar>
            <w:top w:w="0" w:type="dxa"/>
            <w:left w:w="28" w:type="dxa"/>
            <w:bottom w:w="0" w:type="dxa"/>
            <w:right w:w="28" w:type="dxa"/>
          </w:tblCellMar>
        </w:tblPrEx>
        <w:trPr>
          <w:trHeight w:val="5943"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沾天湖南岸园博园</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2500</w:t>
            </w:r>
          </w:p>
        </w:tc>
        <w:tc>
          <w:tcPr>
            <w:tcW w:w="7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1242</w:t>
            </w:r>
          </w:p>
        </w:tc>
        <w:tc>
          <w:tcPr>
            <w:tcW w:w="1985" w:type="dxa"/>
            <w:tcBorders>
              <w:top w:val="nil"/>
              <w:left w:val="nil"/>
              <w:bottom w:val="single" w:color="auto" w:sz="4" w:space="0"/>
              <w:right w:val="nil"/>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武汉园：已完成地形整理，完成竹子栽种；北京园：完成新增游基础施工；深圳园：完成牌楼装饰，正在竹子栽种；厦门园：完成基础土方回填及地形整理，完成游道基础施工。</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市经建投集团        常德金柳公司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刘凡荣</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傅愚山</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1、厦门园：已完成基础打桩及水池地板浇筑，正在梯田挡墙施工，预计年底完成基础施工，完成上部结构施工60%。</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2、武汉园：已基本完成施工，正在苗木养护、场地清理，预计年底前完成全部施工。</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3、北京园：已基本完成施工，正在苗木养护，草花栽植、竹林路清基、桃树栽植，预计年底前完成全部施工。</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 xml:space="preserve">4、深圳园：已基本完成施工，正在苗木养护、牌楼墙漆、桃树栽植，预计年底前完成全部施工。 </w:t>
            </w:r>
          </w:p>
        </w:tc>
      </w:tr>
      <w:tr>
        <w:tblPrEx>
          <w:tblLayout w:type="fixed"/>
          <w:tblCellMar>
            <w:top w:w="0" w:type="dxa"/>
            <w:left w:w="28" w:type="dxa"/>
            <w:bottom w:w="0" w:type="dxa"/>
            <w:right w:w="28" w:type="dxa"/>
          </w:tblCellMar>
        </w:tblPrEx>
        <w:trPr>
          <w:trHeight w:val="1266"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23</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步行城二期</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新建集游、购、吃、玩、学于一体的现代城市“购物公园”</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财政补助</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18000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19800</w:t>
            </w:r>
          </w:p>
        </w:tc>
        <w:tc>
          <w:tcPr>
            <w:tcW w:w="1985" w:type="dxa"/>
            <w:tcBorders>
              <w:top w:val="nil"/>
              <w:left w:val="nil"/>
              <w:bottom w:val="single" w:color="000000"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已完成全部脚手架架设，正在进行外墙改造</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武陵区美化工程指挥部</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童  涤</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10月1日对外开放</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24</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城头山</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城头山、彭头山、八十垱、鸡叫城、三元宫、丁家岗、孙家岗、十里岗、鸡公垱遗址本体保护、环境整治、展示工程</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前期</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2016-2025</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国投</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1100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66000</w:t>
            </w: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1.城头山</w:t>
            </w:r>
            <w:r>
              <w:rPr>
                <w:rFonts w:hint="eastAsia" w:ascii="宋体" w:hAnsi="宋体" w:eastAsia="宋体" w:cs="宋体"/>
                <w:color w:val="000000" w:themeColor="text1"/>
                <w:kern w:val="0"/>
                <w:sz w:val="20"/>
                <w:szCs w:val="20"/>
                <w14:textFill>
                  <w14:solidFill>
                    <w14:schemeClr w14:val="tx1"/>
                  </w14:solidFill>
                </w14:textFill>
              </w:rPr>
              <w:t>①</w:t>
            </w:r>
            <w:r>
              <w:rPr>
                <w:rFonts w:ascii="Times New Roman" w:hAnsi="Times New Roman" w:eastAsia="宋体" w:cs="Times New Roman"/>
                <w:color w:val="000000" w:themeColor="text1"/>
                <w:kern w:val="0"/>
                <w:sz w:val="20"/>
                <w:szCs w:val="20"/>
                <w14:textFill>
                  <w14:solidFill>
                    <w14:schemeClr w14:val="tx1"/>
                  </w14:solidFill>
                </w14:textFill>
              </w:rPr>
              <w:t>遗址及博物馆建设工程，已全部建成并被评为4A景区；</w:t>
            </w:r>
            <w:r>
              <w:rPr>
                <w:rFonts w:hint="eastAsia" w:ascii="宋体" w:hAnsi="宋体" w:eastAsia="宋体" w:cs="宋体"/>
                <w:color w:val="000000" w:themeColor="text1"/>
                <w:kern w:val="0"/>
                <w:sz w:val="20"/>
                <w:szCs w:val="20"/>
                <w14:textFill>
                  <w14:solidFill>
                    <w14:schemeClr w14:val="tx1"/>
                  </w14:solidFill>
                </w14:textFill>
              </w:rPr>
              <w:t>②</w:t>
            </w:r>
            <w:r>
              <w:rPr>
                <w:rFonts w:ascii="Times New Roman" w:hAnsi="Times New Roman" w:eastAsia="宋体" w:cs="Times New Roman"/>
                <w:color w:val="000000" w:themeColor="text1"/>
                <w:kern w:val="0"/>
                <w:sz w:val="20"/>
                <w:szCs w:val="20"/>
                <w14:textFill>
                  <w14:solidFill>
                    <w14:schemeClr w14:val="tx1"/>
                  </w14:solidFill>
                </w14:textFill>
              </w:rPr>
              <w:t xml:space="preserve">配套的5000亩农业大观园，风情小镇建设项目正在建设中；                             2.彭头山、八十垱遗址保护工程已竣工；                    3.澧阳平原史前遗址群考古工作站征拆工作已完成，预计明年上半年可开工建设；                                4.三元宫、丁家岗、十里岗，正在请北京建工建筑设计院编制规划方案。                                </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澧县政府</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徐 荩</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陈 华</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1.城头山。项目总投资约10亿元，目前进展：</w:t>
            </w:r>
            <w:r>
              <w:rPr>
                <w:rFonts w:hint="eastAsia" w:ascii="宋体" w:hAnsi="宋体" w:eastAsia="宋体" w:cs="宋体"/>
                <w:color w:val="000000" w:themeColor="text1"/>
                <w:kern w:val="0"/>
                <w:sz w:val="20"/>
                <w:szCs w:val="20"/>
                <w14:textFill>
                  <w14:solidFill>
                    <w14:schemeClr w14:val="tx1"/>
                  </w14:solidFill>
                </w14:textFill>
              </w:rPr>
              <w:t>①</w:t>
            </w:r>
            <w:r>
              <w:rPr>
                <w:rFonts w:ascii="Times New Roman" w:hAnsi="Times New Roman" w:eastAsia="宋体" w:cs="Times New Roman"/>
                <w:color w:val="000000" w:themeColor="text1"/>
                <w:kern w:val="0"/>
                <w:sz w:val="20"/>
                <w:szCs w:val="20"/>
                <w14:textFill>
                  <w14:solidFill>
                    <w14:schemeClr w14:val="tx1"/>
                  </w14:solidFill>
                </w14:textFill>
              </w:rPr>
              <w:t>投资6亿元遗址及博物馆建设工程，已全部建成并被评为4A景区；</w:t>
            </w:r>
            <w:r>
              <w:rPr>
                <w:rFonts w:hint="eastAsia" w:ascii="宋体" w:hAnsi="宋体" w:eastAsia="宋体" w:cs="宋体"/>
                <w:color w:val="000000" w:themeColor="text1"/>
                <w:kern w:val="0"/>
                <w:sz w:val="20"/>
                <w:szCs w:val="20"/>
                <w14:textFill>
                  <w14:solidFill>
                    <w14:schemeClr w14:val="tx1"/>
                  </w14:solidFill>
                </w14:textFill>
              </w:rPr>
              <w:t>②</w:t>
            </w:r>
            <w:r>
              <w:rPr>
                <w:rFonts w:ascii="Times New Roman" w:hAnsi="Times New Roman" w:eastAsia="宋体" w:cs="Times New Roman"/>
                <w:color w:val="000000" w:themeColor="text1"/>
                <w:kern w:val="0"/>
                <w:sz w:val="20"/>
                <w:szCs w:val="20"/>
                <w14:textFill>
                  <w14:solidFill>
                    <w14:schemeClr w14:val="tx1"/>
                  </w14:solidFill>
                </w14:textFill>
              </w:rPr>
              <w:t>配套的5000亩农业大观园，风情小镇建设项目正在建设中；                             2.彭头山、八十垱遗址保护工程。总投资5000万元，已竣工；                 3.澧阳平原史前遗址群考古工作站征拆工作已完成，预计明年上半年可开工建设；                                4.三元宫、丁家岗、十里岗：总投资8000万</w:t>
            </w:r>
            <w:r>
              <w:rPr>
                <w:rFonts w:ascii="Times New Roman" w:hAnsi="Times New Roman" w:eastAsia="宋体" w:cs="Times New Roman"/>
                <w:color w:val="000000" w:themeColor="text1"/>
                <w:spacing w:val="-6"/>
                <w:kern w:val="0"/>
                <w:sz w:val="20"/>
                <w:szCs w:val="20"/>
                <w14:textFill>
                  <w14:solidFill>
                    <w14:schemeClr w14:val="tx1"/>
                  </w14:solidFill>
                </w14:textFill>
              </w:rPr>
              <w:t>元，正在请北京建工建筑设计院编制规划方案。</w:t>
            </w:r>
            <w:r>
              <w:rPr>
                <w:rFonts w:ascii="Times New Roman" w:hAnsi="Times New Roman" w:eastAsia="宋体" w:cs="Times New Roman"/>
                <w:color w:val="000000" w:themeColor="text1"/>
                <w:kern w:val="0"/>
                <w:sz w:val="20"/>
                <w:szCs w:val="20"/>
                <w14:textFill>
                  <w14:solidFill>
                    <w14:schemeClr w14:val="tx1"/>
                  </w14:solidFill>
                </w14:textFill>
              </w:rPr>
              <w:t xml:space="preserve">    </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25</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穿紫河</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东、中段水系整治河道及驳岸整治、绿化、休闲游乐设施等建设</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2014-2017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168539</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38308</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2460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75677</w:t>
            </w: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1、四处邻水台阶吊装完成；2、四条环景林荫步道混凝土基础施工完成；3、休闲广场的土方基础开挖换填及碎石垫层完成</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市经建投集团公司 </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市穿紫河公司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刘凡荣</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龚智勇</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10月中旬全面建成</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25</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穿紫河</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特色商业街新建德国小镇、常德河街及婚庆产业园等</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竣工</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223606</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52000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3100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43500</w:t>
            </w: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小河街、麻阳街项目目前所有建筑主体封顶，麻阳街木结构主体完成约90%，仿古屋架及瓦屋面完成约90%。</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市经建投集团公司 </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市经山水公司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刘凡荣</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白东明</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11月中旬全面建成</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26</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老西门</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占地130.08 亩，改造面积22.26平方米</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2013-</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141474</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3200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老西门：正在进行主体施工</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鑫龙公司：主体封顶。继续宿舍区完成倒房工作南区护壁桩完成70%</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长胜桥：继续发放拆迁款，继续倒房工作，靠朝阳路已砌围墙70米</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市城建投集团公司  </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市天源公司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方际三</w:t>
            </w:r>
            <w:r>
              <w:rPr>
                <w:rFonts w:ascii="Times New Roman" w:hAnsi="Times New Roman" w:eastAsia="宋体" w:cs="Times New Roman"/>
                <w:color w:val="000000" w:themeColor="text1"/>
                <w:kern w:val="0"/>
                <w:sz w:val="20"/>
                <w:szCs w:val="20"/>
                <w14:textFill>
                  <w14:solidFill>
                    <w14:schemeClr w14:val="tx1"/>
                  </w14:solidFill>
                </w14:textFill>
              </w:rPr>
              <w:br w:type="page"/>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12月底全面开街</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27</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江南沅江风光带</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长4.35公里，新建绿化林、儿童游乐中心及大众健身场所等</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竣工</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24000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250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12300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正在准备风光带画墙的施工。</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鼎城城建投资有限公司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龙林云</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12月底全面竣工</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28</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马拉松赛道</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长15公里</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2015-2018</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5150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20749</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北岸：已完成除滩涂外施工；东岸：已完成施工，正在进行扫尾；万金障段：正在进行鹤影湿地栈道铺装、绿化施工；谢家坪驿站正在进行厕所装修、坐凳施工；老堤障段：渔村建筑物结构、折线栈桥、亲水平台已完成、正在进行六角亭结构、钢桥拼装与铺装、建筑物屋面、绿化、游道铺装施工；园博园：渔村建筑物结构、折线</w:t>
            </w:r>
            <w:r>
              <w:rPr>
                <w:rFonts w:ascii="Times New Roman" w:hAnsi="Times New Roman" w:eastAsia="宋体" w:cs="Times New Roman"/>
                <w:color w:val="000000" w:themeColor="text1"/>
                <w:spacing w:val="-6"/>
                <w:kern w:val="0"/>
                <w:sz w:val="20"/>
                <w:szCs w:val="20"/>
                <w14:textFill>
                  <w14:solidFill>
                    <w14:schemeClr w14:val="tx1"/>
                  </w14:solidFill>
                </w14:textFill>
              </w:rPr>
              <w:t>栈桥、亲水平台已完成、正在进行六角亭结构、钢桥拼装与铺装、建筑物屋面、绿化、游道铺装施工。</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市经建投集团        常德金柳公司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刘凡荣</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傅愚山</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10月中旬全面建成</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29</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东山峰</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新建博物馆、茶叶展厅、壶瓶山欣运车站及猫儿岭接待站等</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52000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25000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22700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主体建设</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石门文旅投公司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刘凡中</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匡加才</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红茶坊主体工程完工，景区提改造完成。</w:t>
            </w:r>
          </w:p>
        </w:tc>
      </w:tr>
      <w:tr>
        <w:tblPrEx>
          <w:tblLayout w:type="fixed"/>
          <w:tblCellMar>
            <w:top w:w="0" w:type="dxa"/>
            <w:left w:w="28" w:type="dxa"/>
            <w:bottom w:w="0" w:type="dxa"/>
            <w:right w:w="28" w:type="dxa"/>
          </w:tblCellMar>
        </w:tblPrEx>
        <w:trPr>
          <w:trHeight w:val="949"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万达广场</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新建93万平米的购物、餐饮、休闲娱乐及写字楼等城市商业综合体</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竣工</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700000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28000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2E+05</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商业已建成开业，正在进行配套设施建设</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常德万达广场建设有限公司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张国华</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城市综合体9月16日开业，年内完成扫尾工程</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四</w:t>
            </w:r>
          </w:p>
        </w:tc>
        <w:tc>
          <w:tcPr>
            <w:tcW w:w="298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十大民生项目（10个）</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1775682</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31</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湘雅常德医院</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按三级甲等医院标准新建27万平方米门急诊楼、住院楼等，总床位1500张</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竣工</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2013-2016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196000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72292</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项目土建工程基本完成，暖通、消防、幕墙安装工程完成95%，弱电安装工程完成85%， 精装修工程完成65%，景观施工完成60%，医疗配套专业按进精装修节点要求配合施工</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市经建投集团公司 </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市经缘公司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刘凡荣</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胡爱军</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陈 华</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12月试营业</w:t>
            </w:r>
          </w:p>
        </w:tc>
      </w:tr>
      <w:tr>
        <w:tblPrEx>
          <w:tblLayout w:type="fixed"/>
          <w:tblCellMar>
            <w:top w:w="0" w:type="dxa"/>
            <w:left w:w="28" w:type="dxa"/>
            <w:bottom w:w="0" w:type="dxa"/>
            <w:right w:w="28" w:type="dxa"/>
          </w:tblCellMar>
        </w:tblPrEx>
        <w:trPr>
          <w:trHeight w:val="680" w:hRule="atLeast"/>
          <w:jc w:val="center"/>
        </w:trPr>
        <w:tc>
          <w:tcPr>
            <w:tcW w:w="3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32</w:t>
            </w:r>
          </w:p>
        </w:tc>
        <w:tc>
          <w:tcPr>
            <w:tcW w:w="100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江南新城</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鼎城临江棚改</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2015-2022</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620000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9525</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1E+05</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已完成1#6#7#8#9#筏板基础混凝土浇筑；本月已启动东侧承台启动施工；</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常德市江南城市发展有限公司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   辉</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完成年度投资计划</w:t>
            </w:r>
          </w:p>
        </w:tc>
      </w:tr>
      <w:tr>
        <w:tblPrEx>
          <w:tblLayout w:type="fixed"/>
          <w:tblCellMar>
            <w:top w:w="0" w:type="dxa"/>
            <w:left w:w="28" w:type="dxa"/>
            <w:bottom w:w="0" w:type="dxa"/>
            <w:right w:w="28" w:type="dxa"/>
          </w:tblCellMar>
        </w:tblPrEx>
        <w:trPr>
          <w:trHeight w:val="680"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经开区棚改涉及户数1963户，改造面积34.49万平米</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234745</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234745</w:t>
            </w: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51800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1E+05</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已完成拆迁1005户</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经开区建管局</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熊  政</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完成年度投资计划</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33</w:t>
            </w:r>
          </w:p>
        </w:tc>
        <w:tc>
          <w:tcPr>
            <w:tcW w:w="1003" w:type="dxa"/>
            <w:tcBorders>
              <w:top w:val="nil"/>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职业教育大学城（智慧谷）</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常德技师学院</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竣工</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2014-2016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资产置换</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95012</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14000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19900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完成绿化增补工程的施工，完成景观湖水体治理工程，组织施工单位开展各单项工程的预验收整改及验收准备工作。</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市城建投集团公司</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市智慧谷公司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方际三</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李岳安</w:t>
            </w:r>
          </w:p>
        </w:tc>
        <w:tc>
          <w:tcPr>
            <w:tcW w:w="718" w:type="dxa"/>
            <w:tcBorders>
              <w:top w:val="nil"/>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陈  华</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单体全部完成 ，已经交付使用了，景观湖水体进化准备施工,绿化增补施工 ，预计年底完成竣工</w:t>
            </w:r>
          </w:p>
        </w:tc>
      </w:tr>
      <w:tr>
        <w:tblPrEx>
          <w:tblLayout w:type="fixed"/>
          <w:tblCellMar>
            <w:top w:w="0" w:type="dxa"/>
            <w:left w:w="28" w:type="dxa"/>
            <w:bottom w:w="0" w:type="dxa"/>
            <w:right w:w="28" w:type="dxa"/>
          </w:tblCellMar>
        </w:tblPrEx>
        <w:trPr>
          <w:trHeight w:val="680" w:hRule="atLeast"/>
          <w:jc w:val="center"/>
        </w:trPr>
        <w:tc>
          <w:tcPr>
            <w:tcW w:w="337" w:type="dxa"/>
            <w:tcBorders>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33</w:t>
            </w:r>
          </w:p>
        </w:tc>
        <w:tc>
          <w:tcPr>
            <w:tcW w:w="1003" w:type="dxa"/>
            <w:tcBorders>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职业教育大学城（智慧谷）</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常德财经职业技术学院</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续建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2015-2018</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资产置换</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99420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6370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正开展公共教学楼和宿舍的招标工作</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市城建投集团公司</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市智慧谷公司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方际三</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李岳安</w:t>
            </w:r>
          </w:p>
        </w:tc>
        <w:tc>
          <w:tcPr>
            <w:tcW w:w="718" w:type="dxa"/>
            <w:tcBorders>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陈  华</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预计招标办在10月底有结果，11月财校公共教学楼和宿舍开工建设。年底基本完成公共教学楼和宿舍房屋基础施工，并开展主体结构施工。</w:t>
            </w:r>
          </w:p>
        </w:tc>
      </w:tr>
      <w:tr>
        <w:tblPrEx>
          <w:tblLayout w:type="fixed"/>
          <w:tblCellMar>
            <w:top w:w="0" w:type="dxa"/>
            <w:left w:w="28" w:type="dxa"/>
            <w:bottom w:w="0" w:type="dxa"/>
            <w:right w:w="28" w:type="dxa"/>
          </w:tblCellMar>
        </w:tblPrEx>
        <w:trPr>
          <w:trHeight w:val="680" w:hRule="atLeast"/>
          <w:jc w:val="center"/>
        </w:trPr>
        <w:tc>
          <w:tcPr>
            <w:tcW w:w="3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33</w:t>
            </w:r>
          </w:p>
        </w:tc>
        <w:tc>
          <w:tcPr>
            <w:tcW w:w="100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职业教育大学城（智慧谷）</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高泗路</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竣工</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2014-2016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19597</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8000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完成了金丹路以西段雨污水管道,、土路基精加工和水稳层一层施工。并开展金丹路-两师大门口段250米污水管道修复工作。</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市城建投集团公司</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市智慧谷公司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方际三</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李岳安</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陈  华</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完成金丹路以西段的路基建设。</w:t>
            </w:r>
          </w:p>
        </w:tc>
      </w:tr>
      <w:tr>
        <w:tblPrEx>
          <w:tblLayout w:type="fixed"/>
          <w:tblCellMar>
            <w:top w:w="0" w:type="dxa"/>
            <w:left w:w="28" w:type="dxa"/>
            <w:bottom w:w="0" w:type="dxa"/>
            <w:right w:w="28" w:type="dxa"/>
          </w:tblCellMar>
        </w:tblPrEx>
        <w:trPr>
          <w:trHeight w:val="680"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金丹路</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竣工</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2014-2016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45908</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1100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18200</w:t>
            </w:r>
          </w:p>
        </w:tc>
        <w:tc>
          <w:tcPr>
            <w:tcW w:w="1985" w:type="dxa"/>
            <w:tcBorders>
              <w:top w:val="nil"/>
              <w:left w:val="nil"/>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沅安路-高泗路段沥青层铺设完成，正开展综合管网和中间绿化带施工，高泗路--新河渠段正开展高压旋喷和污水管道施工。新河渠桥已完成桥梁承台施工。人民路—柳西路沥青层施工一半。</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市城建投集团公司</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市智慧谷公司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方际三</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李岳安</w:t>
            </w:r>
          </w:p>
        </w:tc>
        <w:tc>
          <w:tcPr>
            <w:tcW w:w="71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基本完成道路建设工作</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34</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脱贫攻坚系列项目</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1、产业发展：342个贫困村每村都有1-2个特色产业；投资5000万元。建成3个省级、4个市级、40个县级扶贫重点项目基地；投资2000万元</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2、助学培训：每年“雨露计划”助学补助到人500万元。农村实用技术，及转移就业技能培训100万元</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3、基础设施和公共服务：全市共新建扩建村级活动场所约30个，共投入资金约400万元。贫困村堰塘清淤、渠道疏浚、渠道硬化、机埠改造、提灌设施配套等水利设施建设等投资约2400万元。全市所有贫困村村内主干道硬化、村道整修等约200公里共投入资金约4000万元。危桥改造、人行便桥建设等约5座，共投入资金约300万元产业开发基础设施配套资金约1000万元。农网改造升级约1000万元。</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4、搬迁改造：易地搬迁9350人，投资约18700万元。危房改造完成2400户，投入约2400万元</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前期</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2016-2020</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省投</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待定</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贫困村1-2个特色产业初步完成，投资5000万元。省、市、县级扶贫重点项目基地分布在石门、桃源等贫困人口较多的县，完成投资2000万元。投放扶贫小额信贷25000万元用于贫困农户发展产业。</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全市共新建扩建村级活动场所约300个，共投入资金约3993.4万元。贫困村堰塘清淤、渠道疏浚、渠道硬化、机埠改造、提灌设施配套等水利设施建设等投资约10541.9万元。全市所有贫困村村内主干道硬化、村道整修等约200公里共投入资金约18711万元。危桥改造、人行便桥建设等约5座，共投入资金约300万元产业开发基础设施配套资金约1000万元。农网改造升级1077万元。</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计划易地搬迁9351人（其中集中安置3668人，分散安置5683人），全市集中安置项目51个，正在建房的项目30个，建房率58.82%；全市分散安置1962户，正在建房1773户，建房率90.37%。计划危房改造9591户，已动工6511户，动工率达67.89%。</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市扶贫办</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徐术福</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朱晓平</w:t>
            </w:r>
          </w:p>
        </w:tc>
        <w:tc>
          <w:tcPr>
            <w:tcW w:w="205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1、产业发展：贫困村1-2个特色产业初步完成，投资5000万元。省、市、县级扶贫重点项目基地分布在石门、桃源等贫困人口较多的县，完成投资2000万元。投放扶贫小额信贷19027万元用于贫困农户发展产业。</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2、助学培训：每年“雨露计划”助学补助到人500万元。农村实用技术，及转移就业技能培训100万元</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3、基础设施和公共服务：对44个村小学或教学点进行了维修改造，对48个贫困村实行了农网改造，新建硬化村组公路850公里，300个村级卫生室实行了升级达村。</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4、搬迁改造：计划易地搬迁9351人（其中集中安置3668人，分散安置5683人），项目已全部开工，完成投资27788万元，完成率49.5%。计划危房改造9591户，已动工4840户，完成率50.46%。下阶段，紧盯年度目标任务，完成年度计划。</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一、产业开发方面。增加扶贫小额信贷投放量，帮助更多贫困农户发展产业，增加收入。</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二、助学培训方面。完成“雨露计划”助学到人500万元，农村实用技术培训、转移就业培训100万元投资。</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三、基础设施和公共服务方面。新建扩建村级活动场所投资400万元，贫困村水利建设投资2400万元，产业开发基础设施配套投资1000万元。</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四、搬迁改造方面。全面完成易地搬迁建档立卡贫困人口9351人，危房改造9591户的年度任务。</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35</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现代农业科技产业园建设工程</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新建具有农业科技创新、科技成果孵化、现代农业示范、科技培训等国家级农业科技园区。核心区用地3000亩，一期1000亩，新建市农林科学研究院科技大楼、实验区等</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在建</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800</w:t>
            </w:r>
          </w:p>
        </w:tc>
        <w:tc>
          <w:tcPr>
            <w:tcW w:w="658" w:type="dxa"/>
            <w:tcBorders>
              <w:top w:val="nil"/>
              <w:left w:val="nil"/>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8700</w:t>
            </w: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市农业科研中心建设工程正在进行桩基础施工。</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常德现代农业科技投资公司</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汪国平</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朱晓平</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一期70000</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36</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完美社区建设</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2016年完美社区建设项目计划62个（街道7</w:t>
            </w:r>
            <w:r>
              <w:rPr>
                <w:rFonts w:ascii="Times New Roman" w:hAnsi="Times New Roman" w:eastAsia="宋体" w:cs="Times New Roman"/>
                <w:color w:val="000000" w:themeColor="text1"/>
                <w:spacing w:val="-6"/>
                <w:kern w:val="0"/>
                <w:sz w:val="20"/>
                <w:szCs w:val="20"/>
                <w14:textFill>
                  <w14:solidFill>
                    <w14:schemeClr w14:val="tx1"/>
                  </w14:solidFill>
                </w14:textFill>
              </w:rPr>
              <w:t>个、社区35个、派出所11个、幼儿园3个、卫生计生服务中心6个），其中新建项目57个，改扩建项目5个</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前期</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2016-2016</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818</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25505</w:t>
            </w:r>
          </w:p>
        </w:tc>
        <w:tc>
          <w:tcPr>
            <w:tcW w:w="1985" w:type="dxa"/>
            <w:tcBorders>
              <w:top w:val="nil"/>
              <w:left w:val="nil"/>
              <w:bottom w:val="single" w:color="auto" w:sz="4" w:space="0"/>
              <w:right w:val="nil"/>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2016年完美社区建设项目已提前开工57个，其中街道7个、社区32个、派出所11个、幼儿园3个、卫生计生服务中心6个。</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市民政局</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龚美爱</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朱晓平</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2016年完美社区62个建设项目年底全部开工，其中新建项目57个，改扩建项目5个，预计投资2.8亿。</w:t>
            </w:r>
            <w:r>
              <w:rPr>
                <w:rFonts w:ascii="Times New Roman" w:hAnsi="Times New Roman" w:eastAsia="宋体" w:cs="Times New Roman"/>
                <w:color w:val="000000" w:themeColor="text1"/>
                <w:kern w:val="0"/>
                <w:sz w:val="20"/>
                <w:szCs w:val="20"/>
                <w14:textFill>
                  <w14:solidFill>
                    <w14:schemeClr w14:val="tx1"/>
                  </w14:solidFill>
                </w14:textFill>
              </w:rPr>
              <w:br w:type="page"/>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37</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美丽乡村建设</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实行整市推进美丽乡村建设5年行动计划，着力建设美丽乡村建设“六大工程”，着力推进“五化”重点工作，力争2016年完成16个省为民办实事示范村建设任务，70%市级示范村达到美丽乡村标准。</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前期</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2016-2020</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省投</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待定</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7800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79549</w:t>
            </w:r>
          </w:p>
        </w:tc>
        <w:tc>
          <w:tcPr>
            <w:tcW w:w="1985" w:type="dxa"/>
            <w:tcBorders>
              <w:top w:val="nil"/>
              <w:left w:val="nil"/>
              <w:bottom w:val="single" w:color="auto" w:sz="4" w:space="0"/>
              <w:right w:val="nil"/>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目前全市示范村建设总体进度达到年度预期，“五化”任务已进入建设高峰期，总体进度达年度80%以上，16个省为民办实事示范村建设已完成总任务的100%，市政府授牌31个美丽乡村示范村，省级先进县和授牌村考核验收已经开始。</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市美丽乡村建设指挥部办公室</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李百艳</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徐正宪</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朱晓平</w:t>
            </w:r>
          </w:p>
        </w:tc>
        <w:tc>
          <w:tcPr>
            <w:tcW w:w="205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坚持“跳出农业抓农村”，按照村庄美、村民富、村风好的总要求和“四美一化”的建设标准，以环境整治、庭院美化为突破口，全面开展百村示范、村村创建行动，实施整市推进美丽乡村五年行动计划，</w:t>
            </w:r>
            <w:r>
              <w:rPr>
                <w:rFonts w:ascii="Times New Roman" w:hAnsi="Times New Roman" w:eastAsia="宋体" w:cs="Times New Roman"/>
                <w:color w:val="000000" w:themeColor="text1"/>
                <w:spacing w:val="-6"/>
                <w:kern w:val="0"/>
                <w:sz w:val="20"/>
                <w:szCs w:val="20"/>
                <w14:textFill>
                  <w14:solidFill>
                    <w14:schemeClr w14:val="tx1"/>
                  </w14:solidFill>
                </w14:textFill>
              </w:rPr>
              <w:t>力争2017年全市建成100个美丽乡村示范村，2020年全市20%的村基本达到美丽乡村标准。</w:t>
            </w:r>
          </w:p>
        </w:tc>
      </w:tr>
      <w:tr>
        <w:tblPrEx>
          <w:tblLayout w:type="fixed"/>
          <w:tblCellMar>
            <w:top w:w="0" w:type="dxa"/>
            <w:left w:w="28" w:type="dxa"/>
            <w:bottom w:w="0" w:type="dxa"/>
            <w:right w:w="28" w:type="dxa"/>
          </w:tblCellMar>
        </w:tblPrEx>
        <w:trPr>
          <w:trHeight w:val="680" w:hRule="atLeast"/>
          <w:jc w:val="center"/>
        </w:trPr>
        <w:tc>
          <w:tcPr>
            <w:tcW w:w="33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38</w:t>
            </w:r>
          </w:p>
        </w:tc>
        <w:tc>
          <w:tcPr>
            <w:tcW w:w="10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“两水四岸”环境整治</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重点县城风光带建设、河道保洁、沿河垃圾清理及堤防维护达标</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前期</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2016-2020</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待定</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27500</w:t>
            </w: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鼎城、桃源、澧县等3个县城风光带一期基本建成，石门县城风光带建设完成方案审批，桃源县城风光带二期建设准备招标，总体进度约15%左右。</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市水利局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黄云新</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胡丘陵朱晓平</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全市完成沿江风光带32处，63.5公里长，资金投入128600万元；堤防规范化21处，123公里长，资金投入52320万元；河道规范4处，6.5公里长，资金投入210万元；水环境规范50处，80公里长，资金投入7089万元。</w:t>
            </w:r>
          </w:p>
        </w:tc>
      </w:tr>
      <w:tr>
        <w:tblPrEx>
          <w:tblLayout w:type="fixed"/>
          <w:tblCellMar>
            <w:top w:w="0" w:type="dxa"/>
            <w:left w:w="28" w:type="dxa"/>
            <w:bottom w:w="0" w:type="dxa"/>
            <w:right w:w="28" w:type="dxa"/>
          </w:tblCellMar>
        </w:tblPrEx>
        <w:trPr>
          <w:trHeight w:val="680" w:hRule="atLeast"/>
          <w:jc w:val="center"/>
        </w:trPr>
        <w:tc>
          <w:tcPr>
            <w:tcW w:w="3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39</w:t>
            </w:r>
          </w:p>
        </w:tc>
        <w:tc>
          <w:tcPr>
            <w:tcW w:w="100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水环境水生态建设工程</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洞庭湖生态经济区五大行动实施重点水域生活污水处理设施建设工程3个，实施生猪养殖污染生态综合治理工程1个，实施河湖连通工程3个，实施重点水域农村生活垃圾集中收运系统工程项目2个</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前期</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2016-2018</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7789</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77685</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津市工业污水处理厂及管网建设工程已完成厂区征地拆迁，新建主管网2千米；西毛里湖流域集镇生活污水处理及管网建设工程五个集镇生活污水处理系统已基本完工，现污水处理站正在试运行；畜禽养殖污染治理、水产养殖污染治理制定了方案，摸清了底子。已退养16户，拆除栏舍99078.52平方米，新建、改造了养殖废弃物集中式综合利用和无害化处理设施10处，已拆除网箱7551口，197953平方米。实施3条大型沟渠清淤3.12千米，15条小型沟渠清淤49.62千米，西毛里湖排涝泵站新建工程完成征地拆迁，泵站主体完成70%，设备已订购；城内垸防洪防涝工程泵站主体建成，正实施前池及分流渠新建，老沟渠清淤改造；河湖垃圾治理清理1-9月份累积新建79处垃圾转运点，新建25处垃圾转运站。</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桃源典型流域农业面源污染综合治理试点建设项目目前正在编制初步设计方案，已完成初步设计方案专家评审工作；县城第二污水处理厂已完成厂区建设工程量80%，配套管网已完成13.7公里；东区污水处理厂已完成前期论证、选址等工作，正在开展土地调规；县城第三污水处理厂已完成厂区选址、工艺等前期论证工作；常德沅水桃源段水污染综合整治已完成部分基础工程，主体工程在招标中，2015年畜禽粪污等农业农村废弃物综合利用试点项目土建工程正在设计、预算；设备正在洽谈、采购；规模养殖户正在进行设施设备改造。</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常德市西湖污水处理厂及雨污分流管网设施建设项目污水处理厂已修建完成，部分管网正在修建中。</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安乡县城西污水处理厂正在进行围墙施工；场区内平整；临时用电申报。黄山头污水处理厂正在进行征地拆迁,实物清点；</w:t>
            </w: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澧县河湖水网连通生态水利工程拆迁、施工放线、开挖；常德市澧县城区水污染综合治理项目拆迁、施工放</w:t>
            </w:r>
            <w:r>
              <w:rPr>
                <w:rFonts w:ascii="Times New Roman" w:hAnsi="Times New Roman" w:eastAsia="宋体" w:cs="Times New Roman"/>
                <w:color w:val="000000" w:themeColor="text1"/>
                <w:spacing w:val="-6"/>
                <w:kern w:val="0"/>
                <w:sz w:val="20"/>
                <w:szCs w:val="20"/>
                <w14:textFill>
                  <w14:solidFill>
                    <w14:schemeClr w14:val="tx1"/>
                  </w14:solidFill>
                </w14:textFill>
              </w:rPr>
              <w:t>线。</w:t>
            </w:r>
            <w:r>
              <w:rPr>
                <w:rFonts w:ascii="Times New Roman" w:hAnsi="Times New Roman" w:eastAsia="宋体" w:cs="Times New Roman"/>
                <w:color w:val="000000" w:themeColor="text1"/>
                <w:spacing w:val="-6"/>
                <w:kern w:val="0"/>
                <w:sz w:val="20"/>
                <w:szCs w:val="20"/>
                <w14:textFill>
                  <w14:solidFill>
                    <w14:schemeClr w14:val="tx1"/>
                  </w14:solidFill>
                </w14:textFill>
              </w:rPr>
              <w:br w:type="page"/>
            </w:r>
            <w:r>
              <w:rPr>
                <w:rFonts w:ascii="Times New Roman" w:hAnsi="Times New Roman" w:eastAsia="宋体" w:cs="Times New Roman"/>
                <w:color w:val="000000" w:themeColor="text1"/>
                <w:spacing w:val="-6"/>
                <w:kern w:val="0"/>
                <w:sz w:val="20"/>
                <w:szCs w:val="20"/>
                <w14:textFill>
                  <w14:solidFill>
                    <w14:schemeClr w14:val="tx1"/>
                  </w14:solidFill>
                </w14:textFill>
              </w:rPr>
              <w:t>西洞庭河湖渠连通工程部分渠道清淤已启动，本月申报专项建设基金。西洞庭管理区农村环境综合整治整区推进项目竣工验收资料准备。</w:t>
            </w:r>
            <w:r>
              <w:rPr>
                <w:rFonts w:ascii="Times New Roman" w:hAnsi="Times New Roman" w:eastAsia="宋体" w:cs="Times New Roman"/>
                <w:color w:val="000000" w:themeColor="text1"/>
                <w:spacing w:val="-6"/>
                <w:kern w:val="0"/>
                <w:sz w:val="20"/>
                <w:szCs w:val="20"/>
                <w14:textFill>
                  <w14:solidFill>
                    <w14:schemeClr w14:val="tx1"/>
                  </w14:solidFill>
                </w14:textFill>
              </w:rPr>
              <w:br w:type="page"/>
            </w:r>
            <w:r>
              <w:rPr>
                <w:rFonts w:ascii="Times New Roman" w:hAnsi="Times New Roman" w:eastAsia="宋体" w:cs="Times New Roman"/>
                <w:color w:val="000000" w:themeColor="text1"/>
                <w:spacing w:val="-6"/>
                <w:kern w:val="0"/>
                <w:sz w:val="20"/>
                <w:szCs w:val="20"/>
                <w14:textFill>
                  <w14:solidFill>
                    <w14:schemeClr w14:val="tx1"/>
                  </w14:solidFill>
                </w14:textFill>
              </w:rPr>
              <w:t>石门县城乡生活垃圾一体化收运工程建设部分基本完工，正在进行相关设备采购。</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                                                                   </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杨明波</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朱水平</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进一步加快推进生态文明建设，充分发挥中央预算内、省预算内投资引导作用，推进洞庭湖生态经济区水环境综合治理重大工程建设，              切实增加和改善环境基本公共服务供给，改善洞庭湖生态经济区水环境质量、恢复水生态、保障水安全。</w:t>
            </w:r>
          </w:p>
        </w:tc>
      </w:tr>
      <w:tr>
        <w:tblPrEx>
          <w:tblLayout w:type="fixed"/>
          <w:tblCellMar>
            <w:top w:w="0" w:type="dxa"/>
            <w:left w:w="28" w:type="dxa"/>
            <w:bottom w:w="0" w:type="dxa"/>
            <w:right w:w="28" w:type="dxa"/>
          </w:tblCellMar>
        </w:tblPrEx>
        <w:trPr>
          <w:trHeight w:val="680" w:hRule="atLeast"/>
          <w:jc w:val="center"/>
        </w:trPr>
        <w:tc>
          <w:tcPr>
            <w:tcW w:w="33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nil"/>
              <w:bottom w:val="nil"/>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市城区黑臭水体治理工程包括夏家垱水系、罗新沟、敖家巷沟、红庙街、白马湖水面、屈原公园、穿紫河、护城河８个黑臭水体整治</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前期</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2016-2017</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融资</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待定</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210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5683</w:t>
            </w:r>
          </w:p>
        </w:tc>
        <w:tc>
          <w:tcPr>
            <w:tcW w:w="1985" w:type="dxa"/>
            <w:tcBorders>
              <w:top w:val="nil"/>
              <w:left w:val="nil"/>
              <w:bottom w:val="single" w:color="auto" w:sz="4" w:space="0"/>
              <w:right w:val="nil"/>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红庙沟已竣工，夏家垱水系一期已完成</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二期完成90%三期未开工，敖家沟完成98%，屈原公园完成42%，护城河完成48%，穿紫河78%</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市住建局 </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市环保局</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黄金陵</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胡丘陵</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夏家垱水系：完成一、二期工程主体及配套。敖家沟：完成人民路至双拥路段整治，对双拥路至皇木关雨水机埠段进行清淤及水生植物栽培。红庙沟：消除黑臭。屈原公园：对水面进行垃圾清理，完成周边截污。护城河：完成周边截污，对河道进行清淤，消除部分黑臭。穿紫河：完成全线截污。</w:t>
            </w:r>
          </w:p>
        </w:tc>
      </w:tr>
      <w:tr>
        <w:tblPrEx>
          <w:tblLayout w:type="fixed"/>
          <w:tblCellMar>
            <w:top w:w="0" w:type="dxa"/>
            <w:left w:w="28" w:type="dxa"/>
            <w:bottom w:w="0" w:type="dxa"/>
            <w:right w:w="28" w:type="dxa"/>
          </w:tblCellMar>
        </w:tblPrEx>
        <w:trPr>
          <w:trHeight w:val="680" w:hRule="atLeast"/>
          <w:jc w:val="center"/>
        </w:trPr>
        <w:tc>
          <w:tcPr>
            <w:tcW w:w="33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40</w:t>
            </w:r>
          </w:p>
        </w:tc>
        <w:tc>
          <w:tcPr>
            <w:tcW w:w="1003" w:type="dxa"/>
            <w:vMerge w:val="restart"/>
            <w:tcBorders>
              <w:top w:val="nil"/>
              <w:left w:val="single" w:color="auto" w:sz="4" w:space="0"/>
              <w:bottom w:val="single" w:color="000000" w:sz="4" w:space="0"/>
              <w:right w:val="nil"/>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黄石水库水资源综合利用工程“引黄入常”备用水源工程</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自黄石水库大坝高程约77米处埋管，本段长62.51千米。五里溪至常德市西郊25千米，全线总长87.51千米</w:t>
            </w:r>
          </w:p>
        </w:tc>
        <w:tc>
          <w:tcPr>
            <w:tcW w:w="567" w:type="dxa"/>
            <w:vMerge w:val="restart"/>
            <w:tcBorders>
              <w:top w:val="nil"/>
              <w:left w:val="nil"/>
              <w:bottom w:val="single" w:color="000000"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前期</w:t>
            </w: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2016-2020</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120000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正在进行可研方案编制和立项前期工作</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市住建局</w:t>
            </w:r>
            <w:r>
              <w:rPr>
                <w:rFonts w:ascii="Times New Roman" w:hAnsi="Times New Roman" w:eastAsia="宋体" w:cs="Times New Roman"/>
                <w:color w:val="000000" w:themeColor="text1"/>
                <w:kern w:val="0"/>
                <w:sz w:val="20"/>
                <w:szCs w:val="20"/>
                <w14:textFill>
                  <w14:solidFill>
                    <w14:schemeClr w14:val="tx1"/>
                  </w14:solidFill>
                </w14:textFill>
              </w:rPr>
              <w:br w:type="textWrapping"/>
            </w:r>
            <w:r>
              <w:rPr>
                <w:rFonts w:ascii="Times New Roman" w:hAnsi="Times New Roman" w:eastAsia="宋体" w:cs="Times New Roman"/>
                <w:color w:val="000000" w:themeColor="text1"/>
                <w:kern w:val="0"/>
                <w:sz w:val="20"/>
                <w:szCs w:val="20"/>
                <w14:textFill>
                  <w14:solidFill>
                    <w14:schemeClr w14:val="tx1"/>
                  </w14:solidFill>
                </w14:textFill>
              </w:rPr>
              <w:t>中瀚水务</w:t>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黄金陵</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刘明  胡丘陵</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黄石水库水资源综合利用项目，已将该项目的论证方案上报规划局，待市规委会讨论通过后进行下一步工作，争取完成立项工作。</w:t>
            </w:r>
          </w:p>
        </w:tc>
      </w:tr>
      <w:tr>
        <w:tblPrEx>
          <w:tblLayout w:type="fixed"/>
          <w:tblCellMar>
            <w:top w:w="0" w:type="dxa"/>
            <w:left w:w="28" w:type="dxa"/>
            <w:bottom w:w="0" w:type="dxa"/>
            <w:right w:w="28" w:type="dxa"/>
          </w:tblCellMar>
        </w:tblPrEx>
        <w:trPr>
          <w:trHeight w:val="680" w:hRule="atLeast"/>
          <w:jc w:val="center"/>
        </w:trPr>
        <w:tc>
          <w:tcPr>
            <w:tcW w:w="337"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003" w:type="dxa"/>
            <w:vMerge w:val="continue"/>
            <w:tcBorders>
              <w:top w:val="nil"/>
              <w:left w:val="single" w:color="auto" w:sz="4" w:space="0"/>
              <w:bottom w:val="single" w:color="000000" w:sz="4" w:space="0"/>
              <w:right w:val="nil"/>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1985"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黄石水库至五里溪水库线路全长58km，供水线路沿着黄石水库总干渠、北干渠至鼎城区五里溪水库</w:t>
            </w:r>
          </w:p>
        </w:tc>
        <w:tc>
          <w:tcPr>
            <w:tcW w:w="567" w:type="dxa"/>
            <w:vMerge w:val="continue"/>
            <w:tcBorders>
              <w:top w:val="nil"/>
              <w:left w:val="nil"/>
              <w:bottom w:val="single" w:color="000000" w:sz="4" w:space="0"/>
              <w:right w:val="single" w:color="auto" w:sz="4" w:space="0"/>
            </w:tcBorders>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p>
        </w:tc>
        <w:tc>
          <w:tcPr>
            <w:tcW w:w="9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2017-2018</w:t>
            </w:r>
          </w:p>
        </w:tc>
        <w:tc>
          <w:tcPr>
            <w:tcW w:w="4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自筹</w:t>
            </w:r>
          </w:p>
        </w:tc>
        <w:tc>
          <w:tcPr>
            <w:tcW w:w="9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55000</w:t>
            </w:r>
          </w:p>
        </w:tc>
        <w:tc>
          <w:tcPr>
            <w:tcW w:w="77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65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w:t>
            </w:r>
          </w:p>
        </w:tc>
        <w:tc>
          <w:tcPr>
            <w:tcW w:w="198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向人大汇报工作情况；待确定引水流量。</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br w:type="page"/>
            </w:r>
            <w:r>
              <w:rPr>
                <w:rFonts w:ascii="Times New Roman" w:hAnsi="Times New Roman" w:eastAsia="宋体" w:cs="Times New Roman"/>
                <w:color w:val="000000" w:themeColor="text1"/>
                <w:kern w:val="0"/>
                <w:sz w:val="20"/>
                <w:szCs w:val="20"/>
                <w14:textFill>
                  <w14:solidFill>
                    <w14:schemeClr w14:val="tx1"/>
                  </w14:solidFill>
                </w14:textFill>
              </w:rPr>
              <w:t>金禹水投</w:t>
            </w:r>
            <w:r>
              <w:rPr>
                <w:rFonts w:ascii="Times New Roman" w:hAnsi="Times New Roman" w:eastAsia="宋体" w:cs="Times New Roman"/>
                <w:color w:val="000000" w:themeColor="text1"/>
                <w:kern w:val="0"/>
                <w:sz w:val="20"/>
                <w:szCs w:val="20"/>
                <w14:textFill>
                  <w14:solidFill>
                    <w14:schemeClr w14:val="tx1"/>
                  </w14:solidFill>
                </w14:textFill>
              </w:rPr>
              <w:br w:type="page"/>
            </w:r>
          </w:p>
        </w:tc>
        <w:tc>
          <w:tcPr>
            <w:tcW w:w="73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刘凡荣</w:t>
            </w:r>
          </w:p>
        </w:tc>
        <w:tc>
          <w:tcPr>
            <w:tcW w:w="7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刘明  胡丘陵</w:t>
            </w:r>
          </w:p>
        </w:tc>
        <w:tc>
          <w:tcPr>
            <w:tcW w:w="205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已完成初步规划方案，待落实方案引水流量，如引水流量确定，年前计划完成立项。</w:t>
            </w:r>
          </w:p>
        </w:tc>
      </w:tr>
    </w:tbl>
    <w:p>
      <w:pPr>
        <w:widowControl/>
        <w:jc w:val="left"/>
        <w:rPr>
          <w:rFonts w:ascii="Times New Roman" w:hAnsi="Times New Roman" w:cs="Times New Roman"/>
        </w:rPr>
      </w:pPr>
    </w:p>
    <w:sectPr>
      <w:footerReference r:id="rId3" w:type="default"/>
      <w:footerReference r:id="rId4" w:type="even"/>
      <w:pgSz w:w="16838" w:h="11906" w:orient="landscape"/>
      <w:pgMar w:top="1134" w:right="765" w:bottom="1134" w:left="765"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668091"/>
    </w:sdtPr>
    <w:sdtContent>
      <w:p>
        <w:pPr>
          <w:pStyle w:val="3"/>
          <w:jc w:val="cente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43</w:t>
        </w:r>
        <w:r>
          <w:rPr>
            <w:rFonts w:ascii="Times New Roman" w:hAnsi="Times New Roman" w:cs="Times New Roman"/>
            <w:sz w:val="24"/>
            <w:szCs w:val="24"/>
          </w:rPr>
          <w:fldChar w:fldCharType="end"/>
        </w:r>
        <w:r>
          <w:rPr>
            <w:rFonts w:ascii="Times New Roman" w:hAnsi="Times New Roman" w:cs="Times New Roman"/>
            <w:sz w:val="24"/>
            <w:szCs w:val="24"/>
          </w:rPr>
          <w:t xml:space="preserve"> — </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2077268814"/>
    </w:sdtPr>
    <w:sdtEndPr>
      <w:rPr>
        <w:rFonts w:ascii="Times New Roman" w:hAnsi="Times New Roman" w:cs="Times New Roman"/>
        <w:sz w:val="24"/>
        <w:szCs w:val="24"/>
      </w:rPr>
    </w:sdtEndPr>
    <w:sdtContent>
      <w:p>
        <w:pPr>
          <w:pStyle w:val="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44</w:t>
        </w:r>
        <w:r>
          <w:rPr>
            <w:rFonts w:ascii="Times New Roman" w:hAnsi="Times New Roman" w:cs="Times New Roman"/>
            <w:sz w:val="24"/>
            <w:szCs w:val="24"/>
          </w:rPr>
          <w:fldChar w:fldCharType="end"/>
        </w:r>
        <w:r>
          <w:rPr>
            <w:rFonts w:ascii="Times New Roman" w:hAnsi="Times New Roman" w:cs="Times New Roman"/>
            <w:sz w:val="24"/>
            <w:szCs w:val="24"/>
          </w:rPr>
          <w:t xml:space="preserve"> — </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CAD"/>
    <w:rsid w:val="000203D0"/>
    <w:rsid w:val="000812E2"/>
    <w:rsid w:val="00535F0E"/>
    <w:rsid w:val="0060690C"/>
    <w:rsid w:val="00836A8D"/>
    <w:rsid w:val="009B7DB7"/>
    <w:rsid w:val="00B54BC9"/>
    <w:rsid w:val="00B7068F"/>
    <w:rsid w:val="00BD624E"/>
    <w:rsid w:val="00BE45A1"/>
    <w:rsid w:val="00C1013B"/>
    <w:rsid w:val="00C16FF3"/>
    <w:rsid w:val="00C86CAD"/>
    <w:rsid w:val="00C92C8A"/>
    <w:rsid w:val="00CD498E"/>
    <w:rsid w:val="00DF0219"/>
    <w:rsid w:val="00E165A6"/>
    <w:rsid w:val="469569C6"/>
    <w:rsid w:val="498B091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222"/>
    <w:unhideWhenUsed/>
    <w:qFormat/>
    <w:uiPriority w:val="99"/>
    <w:rPr>
      <w:sz w:val="18"/>
      <w:szCs w:val="18"/>
    </w:rPr>
  </w:style>
  <w:style w:type="paragraph" w:styleId="3">
    <w:name w:val="footer"/>
    <w:basedOn w:val="1"/>
    <w:link w:val="163"/>
    <w:unhideWhenUsed/>
    <w:qFormat/>
    <w:uiPriority w:val="99"/>
    <w:pPr>
      <w:tabs>
        <w:tab w:val="center" w:pos="4153"/>
        <w:tab w:val="right" w:pos="8306"/>
      </w:tabs>
      <w:snapToGrid w:val="0"/>
      <w:jc w:val="left"/>
    </w:pPr>
    <w:rPr>
      <w:sz w:val="18"/>
      <w:szCs w:val="18"/>
    </w:rPr>
  </w:style>
  <w:style w:type="paragraph" w:styleId="4">
    <w:name w:val="header"/>
    <w:basedOn w:val="1"/>
    <w:link w:val="162"/>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unhideWhenUsed/>
    <w:uiPriority w:val="99"/>
    <w:rPr>
      <w:color w:val="800080"/>
      <w:u w:val="single"/>
    </w:rPr>
  </w:style>
  <w:style w:type="character" w:styleId="7">
    <w:name w:val="Hyperlink"/>
    <w:basedOn w:val="5"/>
    <w:unhideWhenUsed/>
    <w:uiPriority w:val="99"/>
    <w:rPr>
      <w:color w:val="0000FF"/>
      <w:u w:val="single"/>
    </w:rPr>
  </w:style>
  <w:style w:type="paragraph" w:customStyle="1" w:styleId="9">
    <w:name w:val="font5"/>
    <w:basedOn w:val="1"/>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0">
    <w:name w:val="font6"/>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
    <w:name w:val="font7"/>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2">
    <w:name w:val="font8"/>
    <w:basedOn w:val="1"/>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13">
    <w:name w:val="font9"/>
    <w:basedOn w:val="1"/>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
    <w:name w:val="font10"/>
    <w:basedOn w:val="1"/>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15">
    <w:name w:val="font11"/>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
    <w:name w:val="font12"/>
    <w:basedOn w:val="1"/>
    <w:uiPriority w:val="0"/>
    <w:pPr>
      <w:widowControl/>
      <w:spacing w:before="100" w:beforeAutospacing="1" w:after="100" w:afterAutospacing="1"/>
      <w:jc w:val="left"/>
    </w:pPr>
    <w:rPr>
      <w:rFonts w:ascii="宋体" w:hAnsi="宋体" w:eastAsia="宋体" w:cs="宋体"/>
      <w:b/>
      <w:bCs/>
      <w:kern w:val="0"/>
      <w:sz w:val="40"/>
      <w:szCs w:val="40"/>
    </w:rPr>
  </w:style>
  <w:style w:type="paragraph" w:customStyle="1" w:styleId="17">
    <w:name w:val="xl21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8">
    <w:name w:val="xl21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9">
    <w:name w:val="xl21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宋体" w:cs="Times New Roman"/>
      <w:kern w:val="0"/>
      <w:sz w:val="20"/>
      <w:szCs w:val="20"/>
    </w:rPr>
  </w:style>
  <w:style w:type="paragraph" w:customStyle="1" w:styleId="20">
    <w:name w:val="xl2179"/>
    <w:basedOn w:val="1"/>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宋体" w:cs="Times New Roman"/>
      <w:kern w:val="0"/>
      <w:sz w:val="20"/>
      <w:szCs w:val="20"/>
    </w:rPr>
  </w:style>
  <w:style w:type="paragraph" w:customStyle="1" w:styleId="21">
    <w:name w:val="xl2180"/>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22">
    <w:name w:val="xl2181"/>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23">
    <w:name w:val="xl2182"/>
    <w:basedOn w:val="1"/>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宋体" w:cs="Times New Roman"/>
      <w:b/>
      <w:bCs/>
      <w:kern w:val="0"/>
      <w:sz w:val="20"/>
      <w:szCs w:val="20"/>
    </w:rPr>
  </w:style>
  <w:style w:type="paragraph" w:customStyle="1" w:styleId="24">
    <w:name w:val="xl2183"/>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25">
    <w:name w:val="xl2184"/>
    <w:basedOn w:val="1"/>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宋体" w:cs="Times New Roman"/>
      <w:kern w:val="0"/>
      <w:sz w:val="20"/>
      <w:szCs w:val="20"/>
    </w:rPr>
  </w:style>
  <w:style w:type="paragraph" w:customStyle="1" w:styleId="26">
    <w:name w:val="xl21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27">
    <w:name w:val="xl21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8">
    <w:name w:val="xl21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29">
    <w:name w:val="xl2188"/>
    <w:basedOn w:val="1"/>
    <w:uiPriority w:val="0"/>
    <w:pPr>
      <w:widowControl/>
      <w:spacing w:before="100" w:beforeAutospacing="1" w:after="100" w:afterAutospacing="1"/>
      <w:jc w:val="center"/>
    </w:pPr>
    <w:rPr>
      <w:rFonts w:ascii="Times New Roman" w:hAnsi="Times New Roman" w:eastAsia="宋体" w:cs="Times New Roman"/>
      <w:b/>
      <w:bCs/>
      <w:kern w:val="0"/>
      <w:sz w:val="40"/>
      <w:szCs w:val="40"/>
    </w:rPr>
  </w:style>
  <w:style w:type="paragraph" w:customStyle="1" w:styleId="30">
    <w:name w:val="xl21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31">
    <w:name w:val="xl21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32">
    <w:name w:val="xl21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3">
    <w:name w:val="xl21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4">
    <w:name w:val="xl2193"/>
    <w:basedOn w:val="1"/>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35">
    <w:name w:val="xl2194"/>
    <w:basedOn w:val="1"/>
    <w:uiPriority w:val="0"/>
    <w:pPr>
      <w:widowControl/>
      <w:spacing w:before="100" w:beforeAutospacing="1" w:after="100" w:afterAutospacing="1"/>
      <w:jc w:val="center"/>
    </w:pPr>
    <w:rPr>
      <w:rFonts w:ascii="Times New Roman" w:hAnsi="Times New Roman" w:eastAsia="宋体" w:cs="Times New Roman"/>
      <w:kern w:val="0"/>
      <w:sz w:val="20"/>
      <w:szCs w:val="20"/>
    </w:rPr>
  </w:style>
  <w:style w:type="paragraph" w:customStyle="1" w:styleId="36">
    <w:name w:val="xl2195"/>
    <w:basedOn w:val="1"/>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37">
    <w:name w:val="xl2196"/>
    <w:basedOn w:val="1"/>
    <w:uiPriority w:val="0"/>
    <w:pPr>
      <w:widowControl/>
      <w:spacing w:before="100" w:beforeAutospacing="1" w:after="100" w:afterAutospacing="1"/>
      <w:jc w:val="left"/>
    </w:pPr>
    <w:rPr>
      <w:rFonts w:ascii="Times New Roman" w:hAnsi="Times New Roman" w:eastAsia="宋体" w:cs="Times New Roman"/>
      <w:b/>
      <w:bCs/>
      <w:kern w:val="0"/>
      <w:sz w:val="40"/>
      <w:szCs w:val="40"/>
    </w:rPr>
  </w:style>
  <w:style w:type="paragraph" w:customStyle="1" w:styleId="38">
    <w:name w:val="xl21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39">
    <w:name w:val="xl219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20"/>
      <w:szCs w:val="20"/>
    </w:rPr>
  </w:style>
  <w:style w:type="paragraph" w:customStyle="1" w:styleId="40">
    <w:name w:val="xl2199"/>
    <w:basedOn w:val="1"/>
    <w:uiPriority w:val="0"/>
    <w:pPr>
      <w:widowControl/>
      <w:spacing w:before="100" w:beforeAutospacing="1" w:after="100" w:afterAutospacing="1"/>
      <w:jc w:val="left"/>
    </w:pPr>
    <w:rPr>
      <w:rFonts w:ascii="Times New Roman" w:hAnsi="Times New Roman" w:eastAsia="宋体" w:cs="Times New Roman"/>
      <w:b/>
      <w:bCs/>
      <w:kern w:val="0"/>
      <w:sz w:val="40"/>
      <w:szCs w:val="40"/>
    </w:rPr>
  </w:style>
  <w:style w:type="paragraph" w:customStyle="1" w:styleId="41">
    <w:name w:val="xl2200"/>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42">
    <w:name w:val="xl2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宋体" w:cs="Times New Roman"/>
      <w:kern w:val="0"/>
      <w:sz w:val="20"/>
      <w:szCs w:val="20"/>
    </w:rPr>
  </w:style>
  <w:style w:type="paragraph" w:customStyle="1" w:styleId="43">
    <w:name w:val="xl220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44">
    <w:name w:val="xl22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45">
    <w:name w:val="xl22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宋体" w:cs="Times New Roman"/>
      <w:b/>
      <w:bCs/>
      <w:kern w:val="0"/>
      <w:sz w:val="20"/>
      <w:szCs w:val="20"/>
    </w:rPr>
  </w:style>
  <w:style w:type="paragraph" w:customStyle="1" w:styleId="46">
    <w:name w:val="xl2205"/>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47">
    <w:name w:val="xl22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48">
    <w:name w:val="xl2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szCs w:val="24"/>
    </w:rPr>
  </w:style>
  <w:style w:type="paragraph" w:customStyle="1" w:styleId="49">
    <w:name w:val="xl2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0">
    <w:name w:val="xl2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1">
    <w:name w:val="xl2210"/>
    <w:basedOn w:val="1"/>
    <w:qFormat/>
    <w:uiPriority w:val="0"/>
    <w:pPr>
      <w:widowControl/>
      <w:pBdr>
        <w:bottom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52">
    <w:name w:val="xl22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2"/>
    </w:rPr>
  </w:style>
  <w:style w:type="paragraph" w:customStyle="1" w:styleId="53">
    <w:name w:val="xl2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4">
    <w:name w:val="xl22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55">
    <w:name w:val="xl2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56">
    <w:name w:val="xl2215"/>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57">
    <w:name w:val="xl2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58">
    <w:name w:val="xl221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59">
    <w:name w:val="xl2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b/>
      <w:bCs/>
      <w:kern w:val="0"/>
      <w:sz w:val="20"/>
      <w:szCs w:val="20"/>
    </w:rPr>
  </w:style>
  <w:style w:type="paragraph" w:customStyle="1" w:styleId="60">
    <w:name w:val="xl221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1">
    <w:name w:val="xl2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62">
    <w:name w:val="xl2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eastAsia="宋体" w:cs="Tahoma"/>
      <w:kern w:val="0"/>
      <w:sz w:val="18"/>
      <w:szCs w:val="18"/>
    </w:rPr>
  </w:style>
  <w:style w:type="paragraph" w:customStyle="1" w:styleId="63">
    <w:name w:val="xl222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64">
    <w:name w:val="xl2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5">
    <w:name w:val="xl2224"/>
    <w:basedOn w:val="1"/>
    <w:qFormat/>
    <w:uiPriority w:val="0"/>
    <w:pPr>
      <w:widowControl/>
      <w:pBdr>
        <w:bottom w:val="single" w:color="000000" w:sz="4" w:space="0"/>
        <w:right w:val="single" w:color="000000" w:sz="4" w:space="0"/>
      </w:pBdr>
      <w:spacing w:before="100" w:beforeAutospacing="1" w:after="100" w:afterAutospacing="1"/>
      <w:jc w:val="left"/>
    </w:pPr>
    <w:rPr>
      <w:rFonts w:ascii="宋体" w:hAnsi="宋体" w:eastAsia="宋体" w:cs="宋体"/>
      <w:kern w:val="0"/>
      <w:sz w:val="22"/>
    </w:rPr>
  </w:style>
  <w:style w:type="paragraph" w:customStyle="1" w:styleId="66">
    <w:name w:val="xl2225"/>
    <w:basedOn w:val="1"/>
    <w:qFormat/>
    <w:uiPriority w:val="0"/>
    <w:pPr>
      <w:widowControl/>
      <w:pBdr>
        <w:bottom w:val="single" w:color="000000" w:sz="4" w:space="0"/>
        <w:right w:val="single" w:color="000000" w:sz="4" w:space="0"/>
      </w:pBdr>
      <w:spacing w:before="100" w:beforeAutospacing="1" w:after="100" w:afterAutospacing="1"/>
      <w:jc w:val="right"/>
    </w:pPr>
    <w:rPr>
      <w:rFonts w:ascii="宋体" w:hAnsi="宋体" w:eastAsia="宋体" w:cs="宋体"/>
      <w:kern w:val="0"/>
      <w:sz w:val="20"/>
      <w:szCs w:val="20"/>
    </w:rPr>
  </w:style>
  <w:style w:type="paragraph" w:customStyle="1" w:styleId="67">
    <w:name w:val="xl2226"/>
    <w:basedOn w:val="1"/>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2"/>
    </w:rPr>
  </w:style>
  <w:style w:type="paragraph" w:customStyle="1" w:styleId="68">
    <w:name w:val="xl222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2"/>
    </w:rPr>
  </w:style>
  <w:style w:type="paragraph" w:customStyle="1" w:styleId="69">
    <w:name w:val="xl2228"/>
    <w:basedOn w:val="1"/>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0"/>
      <w:szCs w:val="20"/>
    </w:rPr>
  </w:style>
  <w:style w:type="paragraph" w:customStyle="1" w:styleId="70">
    <w:name w:val="xl22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0"/>
      <w:szCs w:val="20"/>
    </w:rPr>
  </w:style>
  <w:style w:type="paragraph" w:customStyle="1" w:styleId="71">
    <w:name w:val="xl2230"/>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2">
    <w:name w:val="xl2231"/>
    <w:basedOn w:val="1"/>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0"/>
      <w:szCs w:val="20"/>
    </w:rPr>
  </w:style>
  <w:style w:type="paragraph" w:customStyle="1" w:styleId="73">
    <w:name w:val="xl2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0"/>
      <w:szCs w:val="20"/>
    </w:rPr>
  </w:style>
  <w:style w:type="paragraph" w:customStyle="1" w:styleId="74">
    <w:name w:val="xl223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5">
    <w:name w:val="xl2234"/>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0"/>
      <w:szCs w:val="20"/>
    </w:rPr>
  </w:style>
  <w:style w:type="paragraph" w:customStyle="1" w:styleId="76">
    <w:name w:val="xl2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0"/>
      <w:szCs w:val="20"/>
    </w:rPr>
  </w:style>
  <w:style w:type="paragraph" w:customStyle="1" w:styleId="77">
    <w:name w:val="xl22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8">
    <w:name w:val="xl22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79">
    <w:name w:val="xl2238"/>
    <w:basedOn w:val="1"/>
    <w:qFormat/>
    <w:uiPriority w:val="0"/>
    <w:pPr>
      <w:widowControl/>
      <w:pBdr>
        <w:bottom w:val="single" w:color="000000" w:sz="4" w:space="0"/>
        <w:right w:val="single" w:color="000000" w:sz="4" w:space="0"/>
      </w:pBdr>
      <w:spacing w:before="100" w:beforeAutospacing="1" w:after="100" w:afterAutospacing="1"/>
      <w:jc w:val="left"/>
    </w:pPr>
    <w:rPr>
      <w:rFonts w:ascii="宋体" w:hAnsi="宋体" w:eastAsia="宋体" w:cs="宋体"/>
      <w:kern w:val="0"/>
      <w:sz w:val="22"/>
    </w:rPr>
  </w:style>
  <w:style w:type="paragraph" w:customStyle="1" w:styleId="80">
    <w:name w:val="xl223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81">
    <w:name w:val="xl22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82">
    <w:name w:val="xl2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3">
    <w:name w:val="xl2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4">
    <w:name w:val="xl2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5">
    <w:name w:val="xl22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86">
    <w:name w:val="xl224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87">
    <w:name w:val="xl224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8">
    <w:name w:val="xl224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2"/>
    </w:rPr>
  </w:style>
  <w:style w:type="paragraph" w:customStyle="1" w:styleId="89">
    <w:name w:val="xl22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2"/>
    </w:rPr>
  </w:style>
  <w:style w:type="paragraph" w:customStyle="1" w:styleId="90">
    <w:name w:val="xl22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1">
    <w:name w:val="xl2250"/>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22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3">
    <w:name w:val="xl22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4">
    <w:name w:val="xl22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5">
    <w:name w:val="xl225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6">
    <w:name w:val="xl2255"/>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97">
    <w:name w:val="xl2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8">
    <w:name w:val="xl2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99">
    <w:name w:val="xl225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方正仿宋_GBK" w:hAnsi="宋体" w:eastAsia="方正仿宋_GBK" w:cs="宋体"/>
      <w:color w:val="000000"/>
      <w:kern w:val="0"/>
      <w:sz w:val="18"/>
      <w:szCs w:val="18"/>
    </w:rPr>
  </w:style>
  <w:style w:type="paragraph" w:customStyle="1" w:styleId="100">
    <w:name w:val="xl2259"/>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方正仿宋_GBK" w:hAnsi="宋体" w:eastAsia="方正仿宋_GBK" w:cs="宋体"/>
      <w:color w:val="000000"/>
      <w:kern w:val="0"/>
      <w:sz w:val="18"/>
      <w:szCs w:val="18"/>
    </w:rPr>
  </w:style>
  <w:style w:type="paragraph" w:customStyle="1" w:styleId="101">
    <w:name w:val="xl2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02">
    <w:name w:val="xl2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03">
    <w:name w:val="xl2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04">
    <w:name w:val="xl2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05">
    <w:name w:val="xl2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2265"/>
    <w:basedOn w:val="1"/>
    <w:uiPriority w:val="0"/>
    <w:pPr>
      <w:widowControl/>
      <w:pBdr>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2"/>
    </w:rPr>
  </w:style>
  <w:style w:type="paragraph" w:customStyle="1" w:styleId="107">
    <w:name w:val="xl22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08">
    <w:name w:val="xl2267"/>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09">
    <w:name w:val="xl22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2"/>
    </w:rPr>
  </w:style>
  <w:style w:type="paragraph" w:customStyle="1" w:styleId="110">
    <w:name w:val="xl2269"/>
    <w:basedOn w:val="1"/>
    <w:qFormat/>
    <w:uiPriority w:val="0"/>
    <w:pPr>
      <w:widowControl/>
      <w:pBdr>
        <w:bottom w:val="single" w:color="000000" w:sz="4" w:space="0"/>
        <w:right w:val="single" w:color="000000" w:sz="4" w:space="0"/>
      </w:pBdr>
      <w:spacing w:before="100" w:beforeAutospacing="1" w:after="100" w:afterAutospacing="1"/>
      <w:jc w:val="left"/>
    </w:pPr>
    <w:rPr>
      <w:rFonts w:ascii="宋体" w:hAnsi="宋体" w:eastAsia="宋体" w:cs="宋体"/>
      <w:color w:val="FF0000"/>
      <w:kern w:val="0"/>
      <w:sz w:val="22"/>
    </w:rPr>
  </w:style>
  <w:style w:type="paragraph" w:customStyle="1" w:styleId="111">
    <w:name w:val="xl2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FF0000"/>
      <w:kern w:val="0"/>
      <w:sz w:val="24"/>
      <w:szCs w:val="24"/>
    </w:rPr>
  </w:style>
  <w:style w:type="paragraph" w:customStyle="1" w:styleId="112">
    <w:name w:val="xl227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2"/>
    </w:rPr>
  </w:style>
  <w:style w:type="paragraph" w:customStyle="1" w:styleId="113">
    <w:name w:val="xl2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114">
    <w:name w:val="xl2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FF0000"/>
      <w:kern w:val="0"/>
      <w:sz w:val="20"/>
      <w:szCs w:val="20"/>
    </w:rPr>
  </w:style>
  <w:style w:type="paragraph" w:customStyle="1" w:styleId="115">
    <w:name w:val="xl22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6">
    <w:name w:val="xl2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color w:val="FF0000"/>
      <w:kern w:val="0"/>
      <w:sz w:val="20"/>
      <w:szCs w:val="20"/>
    </w:rPr>
  </w:style>
  <w:style w:type="paragraph" w:customStyle="1" w:styleId="117">
    <w:name w:val="xl22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8">
    <w:name w:val="xl2277"/>
    <w:basedOn w:val="1"/>
    <w:qFormat/>
    <w:uiPriority w:val="0"/>
    <w:pPr>
      <w:widowControl/>
      <w:pBdr>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2"/>
    </w:rPr>
  </w:style>
  <w:style w:type="paragraph" w:customStyle="1" w:styleId="119">
    <w:name w:val="xl22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color w:val="FF0000"/>
      <w:kern w:val="0"/>
      <w:sz w:val="20"/>
      <w:szCs w:val="20"/>
    </w:rPr>
  </w:style>
  <w:style w:type="paragraph" w:customStyle="1" w:styleId="120">
    <w:name w:val="xl2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2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2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FF0000"/>
      <w:kern w:val="0"/>
      <w:sz w:val="20"/>
      <w:szCs w:val="20"/>
    </w:rPr>
  </w:style>
  <w:style w:type="paragraph" w:customStyle="1" w:styleId="123">
    <w:name w:val="xl22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24">
    <w:name w:val="xl22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5">
    <w:name w:val="xl2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26">
    <w:name w:val="xl22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27">
    <w:name w:val="xl2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2"/>
    </w:rPr>
  </w:style>
  <w:style w:type="paragraph" w:customStyle="1" w:styleId="128">
    <w:name w:val="xl228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9">
    <w:name w:val="xl228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0"/>
      <w:szCs w:val="20"/>
    </w:rPr>
  </w:style>
  <w:style w:type="paragraph" w:customStyle="1" w:styleId="130">
    <w:name w:val="xl2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0"/>
      <w:szCs w:val="20"/>
    </w:rPr>
  </w:style>
  <w:style w:type="paragraph" w:customStyle="1" w:styleId="131">
    <w:name w:val="xl2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0"/>
      <w:szCs w:val="20"/>
    </w:rPr>
  </w:style>
  <w:style w:type="paragraph" w:customStyle="1" w:styleId="132">
    <w:name w:val="xl2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33">
    <w:name w:val="xl22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4">
    <w:name w:val="xl229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5">
    <w:name w:val="xl2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36">
    <w:name w:val="xl2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37">
    <w:name w:val="xl2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38">
    <w:name w:val="xl229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9">
    <w:name w:val="xl229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40">
    <w:name w:val="xl2299"/>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1">
    <w:name w:val="xl230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2">
    <w:name w:val="xl230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2302"/>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230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0"/>
      <w:szCs w:val="20"/>
    </w:rPr>
  </w:style>
  <w:style w:type="paragraph" w:customStyle="1" w:styleId="145">
    <w:name w:val="xl2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0"/>
      <w:szCs w:val="20"/>
    </w:rPr>
  </w:style>
  <w:style w:type="paragraph" w:customStyle="1" w:styleId="146">
    <w:name w:val="xl230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47">
    <w:name w:val="xl230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48">
    <w:name w:val="xl2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49">
    <w:name w:val="xl230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50">
    <w:name w:val="xl23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51">
    <w:name w:val="xl231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52">
    <w:name w:val="xl2311"/>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53">
    <w:name w:val="xl2312"/>
    <w:basedOn w:val="1"/>
    <w:qFormat/>
    <w:uiPriority w:val="0"/>
    <w:pPr>
      <w:widowControl/>
      <w:pBdr>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54">
    <w:name w:val="xl2313"/>
    <w:basedOn w:val="1"/>
    <w:qFormat/>
    <w:uiPriority w:val="0"/>
    <w:pPr>
      <w:widowControl/>
      <w:spacing w:before="100" w:beforeAutospacing="1" w:after="100" w:afterAutospacing="1"/>
      <w:jc w:val="center"/>
    </w:pPr>
    <w:rPr>
      <w:rFonts w:ascii="宋体" w:hAnsi="宋体" w:eastAsia="宋体" w:cs="宋体"/>
      <w:b/>
      <w:bCs/>
      <w:kern w:val="0"/>
      <w:sz w:val="40"/>
      <w:szCs w:val="40"/>
    </w:rPr>
  </w:style>
  <w:style w:type="paragraph" w:customStyle="1" w:styleId="155">
    <w:name w:val="xl2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156">
    <w:name w:val="xl231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157">
    <w:name w:val="xl23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158">
    <w:name w:val="xl231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159">
    <w:name w:val="xl2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0">
    <w:name w:val="xl231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1">
    <w:name w:val="xl232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62">
    <w:name w:val="页眉 Char"/>
    <w:basedOn w:val="5"/>
    <w:link w:val="4"/>
    <w:qFormat/>
    <w:uiPriority w:val="99"/>
    <w:rPr>
      <w:sz w:val="18"/>
      <w:szCs w:val="18"/>
    </w:rPr>
  </w:style>
  <w:style w:type="character" w:customStyle="1" w:styleId="163">
    <w:name w:val="页脚 Char"/>
    <w:basedOn w:val="5"/>
    <w:link w:val="3"/>
    <w:qFormat/>
    <w:uiPriority w:val="99"/>
    <w:rPr>
      <w:sz w:val="18"/>
      <w:szCs w:val="18"/>
    </w:rPr>
  </w:style>
  <w:style w:type="paragraph" w:customStyle="1" w:styleId="164">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5">
    <w:name w:val="font13"/>
    <w:basedOn w:val="1"/>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166">
    <w:name w:val="font14"/>
    <w:basedOn w:val="1"/>
    <w:qFormat/>
    <w:uiPriority w:val="0"/>
    <w:pPr>
      <w:widowControl/>
      <w:spacing w:before="100" w:beforeAutospacing="1" w:after="100" w:afterAutospacing="1"/>
      <w:jc w:val="left"/>
    </w:pPr>
    <w:rPr>
      <w:rFonts w:ascii="Times New Roman" w:hAnsi="Times New Roman" w:eastAsia="宋体" w:cs="Times New Roman"/>
      <w:color w:val="FF0000"/>
      <w:kern w:val="0"/>
      <w:sz w:val="24"/>
      <w:szCs w:val="24"/>
    </w:rPr>
  </w:style>
  <w:style w:type="paragraph" w:customStyle="1" w:styleId="167">
    <w:name w:val="font15"/>
    <w:basedOn w:val="1"/>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168">
    <w:name w:val="font16"/>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69">
    <w:name w:val="xl27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70">
    <w:name w:val="xl28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1">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72">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73">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74">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75">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76">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177">
    <w:name w:val="xl2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78">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4"/>
      <w:szCs w:val="24"/>
    </w:rPr>
  </w:style>
  <w:style w:type="paragraph" w:customStyle="1" w:styleId="179">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4"/>
      <w:szCs w:val="24"/>
    </w:rPr>
  </w:style>
  <w:style w:type="paragraph" w:customStyle="1" w:styleId="180">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81">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182">
    <w:name w:val="xl292"/>
    <w:basedOn w:val="1"/>
    <w:qFormat/>
    <w:uiPriority w:val="0"/>
    <w:pPr>
      <w:widowControl/>
      <w:pBdr>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83">
    <w:name w:val="xl2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84">
    <w:name w:val="xl29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kern w:val="0"/>
      <w:sz w:val="20"/>
      <w:szCs w:val="20"/>
    </w:rPr>
  </w:style>
  <w:style w:type="paragraph" w:customStyle="1" w:styleId="185">
    <w:name w:val="xl295"/>
    <w:basedOn w:val="1"/>
    <w:qFormat/>
    <w:uiPriority w:val="0"/>
    <w:pPr>
      <w:widowControl/>
      <w:spacing w:before="100" w:beforeAutospacing="1" w:after="100" w:afterAutospacing="1"/>
      <w:jc w:val="center"/>
    </w:pPr>
    <w:rPr>
      <w:rFonts w:ascii="Times New Roman" w:hAnsi="Times New Roman" w:eastAsia="宋体" w:cs="Times New Roman"/>
      <w:kern w:val="0"/>
      <w:sz w:val="24"/>
      <w:szCs w:val="24"/>
    </w:rPr>
  </w:style>
  <w:style w:type="paragraph" w:customStyle="1" w:styleId="186">
    <w:name w:val="xl29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87">
    <w:name w:val="xl297"/>
    <w:basedOn w:val="1"/>
    <w:qFormat/>
    <w:uiPriority w:val="0"/>
    <w:pPr>
      <w:widowControl/>
      <w:pBdr>
        <w:bottom w:val="single" w:color="000000" w:sz="4" w:space="0"/>
        <w:right w:val="single" w:color="000000"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188">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189">
    <w:name w:val="xl299"/>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190">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191">
    <w:name w:val="xl301"/>
    <w:basedOn w:val="1"/>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192">
    <w:name w:val="xl302"/>
    <w:basedOn w:val="1"/>
    <w:qFormat/>
    <w:uiPriority w:val="0"/>
    <w:pPr>
      <w:widowControl/>
      <w:pBdr>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2"/>
    </w:rPr>
  </w:style>
  <w:style w:type="paragraph" w:customStyle="1" w:styleId="193">
    <w:name w:val="xl303"/>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2"/>
    </w:rPr>
  </w:style>
  <w:style w:type="paragraph" w:customStyle="1" w:styleId="194">
    <w:name w:val="xl30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2"/>
    </w:rPr>
  </w:style>
  <w:style w:type="paragraph" w:customStyle="1" w:styleId="195">
    <w:name w:val="xl305"/>
    <w:basedOn w:val="1"/>
    <w:qFormat/>
    <w:uiPriority w:val="0"/>
    <w:pPr>
      <w:widowControl/>
      <w:pBdr>
        <w:bottom w:val="single" w:color="000000" w:sz="4" w:space="0"/>
        <w:right w:val="single" w:color="000000" w:sz="4" w:space="0"/>
      </w:pBdr>
      <w:spacing w:before="100" w:beforeAutospacing="1" w:after="100" w:afterAutospacing="1"/>
      <w:jc w:val="left"/>
    </w:pPr>
    <w:rPr>
      <w:rFonts w:ascii="宋体" w:hAnsi="宋体" w:eastAsia="宋体" w:cs="宋体"/>
      <w:color w:val="FF0000"/>
      <w:kern w:val="0"/>
      <w:sz w:val="22"/>
    </w:rPr>
  </w:style>
  <w:style w:type="paragraph" w:customStyle="1" w:styleId="196">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4"/>
      <w:szCs w:val="24"/>
    </w:rPr>
  </w:style>
  <w:style w:type="paragraph" w:customStyle="1" w:styleId="197">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98">
    <w:name w:val="xl3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99">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4"/>
      <w:szCs w:val="24"/>
    </w:rPr>
  </w:style>
  <w:style w:type="paragraph" w:customStyle="1" w:styleId="200">
    <w:name w:val="xl3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FF0000"/>
      <w:kern w:val="0"/>
      <w:sz w:val="22"/>
    </w:rPr>
  </w:style>
  <w:style w:type="paragraph" w:customStyle="1" w:styleId="201">
    <w:name w:val="xl311"/>
    <w:basedOn w:val="1"/>
    <w:qFormat/>
    <w:uiPriority w:val="0"/>
    <w:pPr>
      <w:widowControl/>
      <w:pBdr>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FF0000"/>
      <w:kern w:val="0"/>
      <w:sz w:val="24"/>
      <w:szCs w:val="24"/>
    </w:rPr>
  </w:style>
  <w:style w:type="paragraph" w:customStyle="1" w:styleId="202">
    <w:name w:val="xl312"/>
    <w:basedOn w:val="1"/>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203">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FF0000"/>
      <w:kern w:val="0"/>
      <w:sz w:val="24"/>
      <w:szCs w:val="24"/>
    </w:rPr>
  </w:style>
  <w:style w:type="paragraph" w:customStyle="1" w:styleId="204">
    <w:name w:val="xl314"/>
    <w:basedOn w:val="1"/>
    <w:qFormat/>
    <w:uiPriority w:val="0"/>
    <w:pPr>
      <w:widowControl/>
      <w:pBdr>
        <w:bottom w:val="single" w:color="000000" w:sz="4" w:space="0"/>
        <w:right w:val="single" w:color="000000" w:sz="4" w:space="0"/>
      </w:pBdr>
      <w:spacing w:before="100" w:beforeAutospacing="1" w:after="100" w:afterAutospacing="1"/>
      <w:jc w:val="left"/>
    </w:pPr>
    <w:rPr>
      <w:rFonts w:ascii="宋体" w:hAnsi="宋体" w:eastAsia="宋体" w:cs="宋体"/>
      <w:kern w:val="0"/>
      <w:sz w:val="22"/>
    </w:rPr>
  </w:style>
  <w:style w:type="paragraph" w:customStyle="1" w:styleId="205">
    <w:name w:val="xl31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2"/>
    </w:rPr>
  </w:style>
  <w:style w:type="paragraph" w:customStyle="1" w:styleId="206">
    <w:name w:val="xl3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2"/>
    </w:rPr>
  </w:style>
  <w:style w:type="paragraph" w:customStyle="1" w:styleId="207">
    <w:name w:val="xl3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2"/>
    </w:rPr>
  </w:style>
  <w:style w:type="paragraph" w:customStyle="1" w:styleId="208">
    <w:name w:val="xl31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eastAsia="宋体" w:cs="宋体"/>
      <w:color w:val="000000"/>
      <w:kern w:val="0"/>
      <w:sz w:val="22"/>
    </w:rPr>
  </w:style>
  <w:style w:type="paragraph" w:customStyle="1" w:styleId="209">
    <w:name w:val="xl319"/>
    <w:basedOn w:val="1"/>
    <w:qFormat/>
    <w:uiPriority w:val="0"/>
    <w:pPr>
      <w:widowControl/>
      <w:pBdr>
        <w:top w:val="single" w:color="000000" w:sz="4" w:space="0"/>
        <w:bottom w:val="single" w:color="000000" w:sz="4" w:space="0"/>
      </w:pBdr>
      <w:spacing w:before="100" w:beforeAutospacing="1" w:after="100" w:afterAutospacing="1"/>
      <w:jc w:val="left"/>
    </w:pPr>
    <w:rPr>
      <w:rFonts w:ascii="宋体" w:hAnsi="宋体" w:eastAsia="宋体" w:cs="宋体"/>
      <w:color w:val="000000"/>
      <w:kern w:val="0"/>
      <w:sz w:val="22"/>
    </w:rPr>
  </w:style>
  <w:style w:type="paragraph" w:customStyle="1" w:styleId="210">
    <w:name w:val="xl320"/>
    <w:basedOn w:val="1"/>
    <w:qFormat/>
    <w:uiPriority w:val="0"/>
    <w:pPr>
      <w:widowControl/>
      <w:spacing w:before="100" w:beforeAutospacing="1" w:after="100" w:afterAutospacing="1"/>
      <w:jc w:val="center"/>
    </w:pPr>
    <w:rPr>
      <w:rFonts w:ascii="Times New Roman" w:hAnsi="Times New Roman" w:eastAsia="宋体" w:cs="Times New Roman"/>
      <w:b/>
      <w:bCs/>
      <w:kern w:val="0"/>
      <w:sz w:val="40"/>
      <w:szCs w:val="40"/>
    </w:rPr>
  </w:style>
  <w:style w:type="paragraph" w:customStyle="1" w:styleId="211">
    <w:name w:val="xl321"/>
    <w:basedOn w:val="1"/>
    <w:qFormat/>
    <w:uiPriority w:val="0"/>
    <w:pPr>
      <w:widowControl/>
      <w:pBdr>
        <w:bottom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212">
    <w:name w:val="xl322"/>
    <w:basedOn w:val="1"/>
    <w:qFormat/>
    <w:uiPriority w:val="0"/>
    <w:pPr>
      <w:widowControl/>
      <w:pBdr>
        <w:bottom w:val="single" w:color="auto" w:sz="4" w:space="0"/>
      </w:pBdr>
      <w:spacing w:before="100" w:beforeAutospacing="1" w:after="100" w:afterAutospacing="1"/>
      <w:jc w:val="right"/>
    </w:pPr>
    <w:rPr>
      <w:rFonts w:ascii="Times New Roman" w:hAnsi="Times New Roman" w:eastAsia="宋体" w:cs="Times New Roman"/>
      <w:kern w:val="0"/>
      <w:sz w:val="24"/>
      <w:szCs w:val="24"/>
    </w:rPr>
  </w:style>
  <w:style w:type="paragraph" w:customStyle="1" w:styleId="213">
    <w:name w:val="xl32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14">
    <w:name w:val="xl3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15">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216">
    <w:name w:val="xl3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17">
    <w:name w:val="xl32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18">
    <w:name w:val="xl32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219">
    <w:name w:val="xl3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220">
    <w:name w:val="xl3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21">
    <w:name w:val="xl3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222">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FC5760-DFF2-4A85-BD6A-6D959AD1033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44</Pages>
  <Words>4539</Words>
  <Characters>25873</Characters>
  <Lines>215</Lines>
  <Paragraphs>60</Paragraphs>
  <ScaleCrop>false</ScaleCrop>
  <LinksUpToDate>false</LinksUpToDate>
  <CharactersWithSpaces>30352</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2016-11-24T06:21:00Z</dcterms:created>
  <dc:creator>Administrator</dc:creator>
  <cp:lastModifiedBy>Administrator</cp:lastModifiedBy>
  <cp:lastPrinted>2016-11-29T01:38:00Z</cp:lastPrinted>
  <dcterms:modified xsi:type="dcterms:W3CDTF">2016-12-08T03:10:01Z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