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附件1：</w:t>
      </w:r>
    </w:p>
    <w:p>
      <w:pPr>
        <w:jc w:val="center"/>
        <w:rPr>
          <w:rFonts w:ascii="Times New Roman" w:hAnsi="Times New Roman" w:eastAsia="方正小标宋_GBK" w:cs="Times New Roman"/>
          <w:bCs/>
          <w:kern w:val="0"/>
          <w:sz w:val="44"/>
          <w:szCs w:val="40"/>
        </w:rPr>
      </w:pPr>
      <w:bookmarkStart w:id="0" w:name="_GoBack"/>
      <w:r>
        <w:rPr>
          <w:rFonts w:ascii="Times New Roman" w:hAnsi="Times New Roman" w:eastAsia="方正小标宋_GBK" w:cs="Times New Roman"/>
          <w:bCs/>
          <w:kern w:val="0"/>
          <w:sz w:val="44"/>
          <w:szCs w:val="40"/>
        </w:rPr>
        <w:t>四十大项目1-10月完成情况表</w:t>
      </w:r>
      <w:bookmarkEnd w:id="0"/>
    </w:p>
    <w:p>
      <w:pPr>
        <w:ind w:right="200"/>
        <w:jc w:val="right"/>
        <w:rPr>
          <w:rFonts w:ascii="Times New Roman" w:hAnsi="Times New Roman" w:cs="Times New Roman"/>
        </w:rPr>
      </w:pPr>
      <w:r>
        <w:rPr>
          <w:rFonts w:ascii="Times New Roman" w:hAnsi="Times New Roman" w:eastAsia="宋体" w:cs="Times New Roman"/>
          <w:kern w:val="0"/>
          <w:sz w:val="20"/>
          <w:szCs w:val="20"/>
        </w:rPr>
        <w:t>（单位：万元）</w:t>
      </w:r>
    </w:p>
    <w:tbl>
      <w:tblPr>
        <w:tblStyle w:val="8"/>
        <w:tblW w:w="14956" w:type="dxa"/>
        <w:jc w:val="center"/>
        <w:tblInd w:w="93" w:type="dxa"/>
        <w:tblLayout w:type="fixed"/>
        <w:tblCellMar>
          <w:top w:w="0" w:type="dxa"/>
          <w:left w:w="28" w:type="dxa"/>
          <w:bottom w:w="0" w:type="dxa"/>
          <w:right w:w="28" w:type="dxa"/>
        </w:tblCellMar>
      </w:tblPr>
      <w:tblGrid>
        <w:gridCol w:w="337"/>
        <w:gridCol w:w="1003"/>
        <w:gridCol w:w="1985"/>
        <w:gridCol w:w="567"/>
        <w:gridCol w:w="927"/>
        <w:gridCol w:w="484"/>
        <w:gridCol w:w="908"/>
        <w:gridCol w:w="778"/>
        <w:gridCol w:w="677"/>
        <w:gridCol w:w="658"/>
        <w:gridCol w:w="1985"/>
        <w:gridCol w:w="1134"/>
        <w:gridCol w:w="737"/>
        <w:gridCol w:w="718"/>
        <w:gridCol w:w="2058"/>
      </w:tblGrid>
      <w:tr>
        <w:tblPrEx>
          <w:tblLayout w:type="fixed"/>
        </w:tblPrEx>
        <w:trPr>
          <w:trHeight w:val="304" w:hRule="atLeast"/>
          <w:tblHeader/>
          <w:jc w:val="center"/>
        </w:trPr>
        <w:tc>
          <w:tcPr>
            <w:tcW w:w="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序号</w:t>
            </w:r>
          </w:p>
        </w:tc>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项目名称</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建设内容</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建设性质</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建设起止年限</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资金来源</w:t>
            </w:r>
          </w:p>
        </w:tc>
        <w:tc>
          <w:tcPr>
            <w:tcW w:w="9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总投资</w:t>
            </w:r>
          </w:p>
        </w:tc>
        <w:tc>
          <w:tcPr>
            <w:tcW w:w="7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2016年计划投资</w:t>
            </w:r>
          </w:p>
        </w:tc>
        <w:tc>
          <w:tcPr>
            <w:tcW w:w="33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1-10月完成情况</w:t>
            </w:r>
          </w:p>
        </w:tc>
        <w:tc>
          <w:tcPr>
            <w:tcW w:w="18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责任部门</w:t>
            </w:r>
          </w:p>
        </w:tc>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联系市级领导</w:t>
            </w:r>
          </w:p>
        </w:tc>
        <w:tc>
          <w:tcPr>
            <w:tcW w:w="20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年度目标</w:t>
            </w:r>
          </w:p>
        </w:tc>
      </w:tr>
      <w:tr>
        <w:tblPrEx>
          <w:tblLayout w:type="fixed"/>
        </w:tblPrEx>
        <w:trPr>
          <w:trHeight w:val="407" w:hRule="atLeast"/>
          <w:tblHeader/>
          <w:jc w:val="center"/>
        </w:trPr>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当月</w:t>
            </w:r>
          </w:p>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投资</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累计投资</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形象进度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单位</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责任人</w:t>
            </w: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20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15"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合计（40个）</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16920253</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415"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一</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十大基础设施工程（10个）</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6113487</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91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沅江隧道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新建长2.3公里的双向四车道隧道</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2016-2019</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20300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21526</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完成鼎城区121户倒房；盾构机工作机井的拆迁。</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市龙马公司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余晓斌</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10.16开工建设，完成投资2亿元，进行拆迁倒房、施井开挖工作</w:t>
            </w:r>
          </w:p>
        </w:tc>
      </w:tr>
      <w:tr>
        <w:tblPrEx>
          <w:tblLayout w:type="fixed"/>
          <w:tblCellMar>
            <w:top w:w="0" w:type="dxa"/>
            <w:left w:w="28" w:type="dxa"/>
            <w:bottom w:w="0" w:type="dxa"/>
            <w:right w:w="28" w:type="dxa"/>
          </w:tblCellMar>
        </w:tblPrEx>
        <w:trPr>
          <w:trHeight w:val="545"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沅澧快速干线（一、二、四、六号大道）</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120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一号大道建设工程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鼎城境内21.9公里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138600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28800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10月份主要正在进行20公里路基础的夯实和涵洞、人行通道和道路边沟的施工。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常德鼎力投资有限公司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杨  鹰</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完成路基夯实，开始沥青砼摊铺</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临澧境内27.74公里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120600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27500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正在进行路面和桥梁施工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临澧沅澧快速干线有限公司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黄素荣</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完成路基夯实，开始沥青砼摊铺</w:t>
            </w:r>
          </w:p>
        </w:tc>
      </w:tr>
      <w:tr>
        <w:tblPrEx>
          <w:tblLayout w:type="fixed"/>
          <w:tblCellMar>
            <w:top w:w="0" w:type="dxa"/>
            <w:left w:w="28" w:type="dxa"/>
            <w:bottom w:w="0" w:type="dxa"/>
            <w:right w:w="28" w:type="dxa"/>
          </w:tblCellMar>
        </w:tblPrEx>
        <w:trPr>
          <w:trHeight w:val="681"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二号大道建设工程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石门境内9.57公里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37000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18500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石门交建投公司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龚道平</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年内完成5公里城区路段的沥青砼摊铺</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二号大道建设工程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临澧境内16.25公里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44300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18700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正在进行路基土石方和涵洞施工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临澧沅澧快速干线有限公司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刘永春</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完成路基填筑并具备路基施工条件。</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澧县境内25.07 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国省投</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105560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420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19615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澧县嘉诚交通投资有限公司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孙运岩</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进行路基修筑，完成澹水大桥下部结构施工。</w:t>
            </w:r>
          </w:p>
        </w:tc>
      </w:tr>
      <w:tr>
        <w:tblPrEx>
          <w:tblLayout w:type="fixed"/>
          <w:tblCellMar>
            <w:top w:w="0" w:type="dxa"/>
            <w:left w:w="28" w:type="dxa"/>
            <w:bottom w:w="0" w:type="dxa"/>
            <w:right w:w="28" w:type="dxa"/>
          </w:tblCellMar>
        </w:tblPrEx>
        <w:trPr>
          <w:trHeight w:val="668"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③</w:t>
            </w:r>
            <w:r>
              <w:rPr>
                <w:rFonts w:ascii="Times New Roman" w:hAnsi="Times New Roman" w:eastAsia="宋体" w:cs="Times New Roman"/>
                <w:color w:val="000000" w:themeColor="text1"/>
                <w:kern w:val="0"/>
                <w:sz w:val="20"/>
                <w:szCs w:val="20"/>
                <w14:textFill>
                  <w14:solidFill>
                    <w14:schemeClr w14:val="tx1"/>
                  </w14:solidFill>
                </w14:textFill>
              </w:rPr>
              <w:t>四号大道建设工程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桃源境内28.2公里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108900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桃源县交建投公司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龙文政</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因前期征拆工作未完成，年内无法形成有效投资，已退出重点工程。</w:t>
            </w:r>
          </w:p>
        </w:tc>
      </w:tr>
      <w:tr>
        <w:tblPrEx>
          <w:tblLayout w:type="fixed"/>
          <w:tblCellMar>
            <w:top w:w="0" w:type="dxa"/>
            <w:left w:w="28" w:type="dxa"/>
            <w:bottom w:w="0" w:type="dxa"/>
            <w:right w:w="28" w:type="dxa"/>
          </w:tblCellMar>
        </w:tblPrEx>
        <w:trPr>
          <w:trHeight w:val="821"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④</w:t>
            </w:r>
            <w:r>
              <w:rPr>
                <w:rFonts w:ascii="Times New Roman" w:hAnsi="Times New Roman" w:eastAsia="宋体" w:cs="Times New Roman"/>
                <w:color w:val="000000" w:themeColor="text1"/>
                <w:kern w:val="0"/>
                <w:sz w:val="20"/>
                <w:szCs w:val="20"/>
                <w14:textFill>
                  <w14:solidFill>
                    <w14:schemeClr w14:val="tx1"/>
                  </w14:solidFill>
                </w14:textFill>
              </w:rPr>
              <w:t>六号大道建设工程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经开区境内10.43公里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72990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15400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23350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己完成项目部搭建；完成原地貌复测；完成2000米边沟和1000米清淤清表</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德源公司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周  云</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开始路基修筑。</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④</w:t>
            </w:r>
            <w:r>
              <w:rPr>
                <w:rFonts w:ascii="Times New Roman" w:hAnsi="Times New Roman" w:eastAsia="宋体" w:cs="Times New Roman"/>
                <w:color w:val="000000" w:themeColor="text1"/>
                <w:kern w:val="0"/>
                <w:sz w:val="20"/>
                <w:szCs w:val="20"/>
                <w14:textFill>
                  <w14:solidFill>
                    <w14:schemeClr w14:val="tx1"/>
                  </w14:solidFill>
                </w14:textFill>
              </w:rPr>
              <w:t>六号大道建设工程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汉寿境内14.2公里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84000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54000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已完成全线红线沟开挖，清表50万平方，路基土石方挖方50万立方，路基填方40万立方，沧浪大桥和友谊河大桥正在建设中</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汉寿县远达交通建设有限公司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王众豪</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力争年内完成路基和基层施工。</w:t>
            </w:r>
          </w:p>
        </w:tc>
      </w:tr>
      <w:tr>
        <w:tblPrEx>
          <w:tblLayout w:type="fixed"/>
          <w:tblCellMar>
            <w:top w:w="0" w:type="dxa"/>
            <w:left w:w="28" w:type="dxa"/>
            <w:bottom w:w="0" w:type="dxa"/>
            <w:right w:w="28" w:type="dxa"/>
          </w:tblCellMar>
        </w:tblPrEx>
        <w:trPr>
          <w:trHeight w:val="394" w:hRule="atLeast"/>
          <w:jc w:val="center"/>
        </w:trPr>
        <w:tc>
          <w:tcPr>
            <w:tcW w:w="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阳山、阳明大道</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nil"/>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阳山大道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常德大道-花山河长5公</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48000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7772</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2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一标：1、完成65米特殊路基处理；2、完成240米雨污水管埋设；3、完成135米临时排水管埋设；4、完成169米箱涵施工。 二标：1、完成80米箱涵施工；2、完成60米西侧雨水管埋设、77米西侧污水管埋设；3、完成197米路基清表；4、完成105米池塘清淤；5、完成320米部分山砾石回填。 三标：1、完成ABCD四个匝道清表及1区和3区的清表施工；2、完成590米主路部分山砾石回填；3、完成ABCD四个匝道及1区和3区部分山砾石回填。</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市龙马公司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余晓斌</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完成路基山砾石回填工作。</w:t>
            </w:r>
          </w:p>
        </w:tc>
      </w:tr>
      <w:tr>
        <w:tblPrEx>
          <w:tblLayout w:type="fixed"/>
          <w:tblCellMar>
            <w:top w:w="0" w:type="dxa"/>
            <w:left w:w="28" w:type="dxa"/>
            <w:bottom w:w="0" w:type="dxa"/>
            <w:right w:w="28" w:type="dxa"/>
          </w:tblCellMar>
        </w:tblPrEx>
        <w:trPr>
          <w:trHeight w:val="680" w:hRule="atLeast"/>
          <w:jc w:val="center"/>
        </w:trPr>
        <w:tc>
          <w:tcPr>
            <w:tcW w:w="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阳明大道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长3.2公里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10月份已铺设沥青路面2000米，正在进行亮化、绿化和排水设施的施工。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鼎城城建投资有限公司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龙林云</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single" w:color="auto" w:sz="8" w:space="0"/>
              <w:bottom w:val="single" w:color="auto" w:sz="8" w:space="0"/>
              <w:right w:val="single" w:color="auto" w:sz="8"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力争完成路基及路面建设。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安慈高速公路</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常德境内长98.63公里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1025100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000000"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省交通厅正在招标</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市安慈办</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相关区县市政府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彭德友</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省交通厅正在招标，重新更换业主。</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常安高速公路</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常德境内36.2公里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2010-2016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8603</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39172</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正进行扫尾工程建设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市高路办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相关区县市政府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彭德友</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竣工并完成年度投资计划</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黔张常铁路</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常德境内100.5公里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12930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正在架梁铺轨</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市铁路办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相关区县市政府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胡世满</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丹洲、长岭、澧水三座大桥</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nil"/>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4231" w:hRule="atLeast"/>
          <w:jc w:val="center"/>
        </w:trPr>
        <w:tc>
          <w:tcPr>
            <w:tcW w:w="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G319G207常德城区段改线（含沅水四桥）</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长34.67公里，按一级公路标准建设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国省补助</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161814</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29000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4870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32130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1、路基完成土石方12万立方米，围山沟1号桥完成铰缝及铺装、护栏12米，枉水大桥T梁预制44片, 草坪村中桥桥面铺装完成；2、沅水四桥完成16#墩、20#墩的0#块托架安装，18#墩0#块完成第二次浇筑和1#块浇筑，17#完成墩身两次浇筑，19#墩完成墩身四次浇筑。北引桥完成8根墩身砼浇筑、承台6个、横撑4根，南岸引桥完成15根桩基。</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市交建投集团公司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谢志坚</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完成投资2.9亿元，进行路基、桥梁、涵洞建设</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长岭大桥</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长3.09公里（包括接线1.44公里）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43650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12400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完成桩基196根、系梁63榀、承台6座、墩柱65根、盖梁25道。</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安乡迅达路桥责任有限公司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杨子典 </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完成投资1.5亿元，进行连续梁建设</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③</w:t>
            </w:r>
            <w:r>
              <w:rPr>
                <w:rFonts w:ascii="Times New Roman" w:hAnsi="Times New Roman" w:eastAsia="宋体" w:cs="Times New Roman"/>
                <w:color w:val="000000" w:themeColor="text1"/>
                <w:kern w:val="0"/>
                <w:sz w:val="20"/>
                <w:szCs w:val="20"/>
                <w14:textFill>
                  <w14:solidFill>
                    <w14:schemeClr w14:val="tx1"/>
                  </w14:solidFill>
                </w14:textFill>
              </w:rPr>
              <w:t>澧水二桥</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长6.1公里（包括接线4.58公里）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32126</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9300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津市市交通局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朱国贵</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完成桥墩主体工程建设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柳叶大道西延线</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长10.9公里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175847</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12070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54888</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道路工程：主道除规划七路-九路未摊铺底层和面层沥青，其余部分均已完成沥青摊铺，辅道基本完成土方回填。桥梁工程：已基本完成全部主线桥梁；绿化工程：完成绿化种植30% 连接线段：1、道路工程：主道除党校立交右幅约500米未摊铺沥青面层，完成其他部分沥青摊铺，辅道已完成土方填筑，已完成水稳摊铺30%，</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市西城公司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涂义文</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10月1日主线已经通车，年内完成辅道建设。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常益长高铁</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常益长高铁自常德引出，经德山、汉寿、桃江、益阳、宁乡至长沙，线路全长157.07公里，设计时速350公里,预计投资231亿元，建设工期48个月（铁四院提供）</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2310000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于六月初完成踏勘任务，中铁四院已全面进入初步设计阶段，接下来进行初步设计方案核实和批审。</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市铁路办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陈秋林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刘  明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益长高铁建设项目，由于市委市政府的高度重视，早在年前就进入了前期工作阶段，常德市铁办根据市委、市政府的要求，以快速推进常益长高铁建设速度为中心的工作思路，以协调为主要职责，主要协调设计方——铁四院的设计要求与地方利益的矛盾。从春节前开始，铁办主动多次联系铁四院，要求在可能的情况下，尽量满足地方所求，做了扎实地、多次地协调工作，年后，铁办集中精力，分别与江北城区、经开区和汉寿县及相关部门进行走访摸底，并要求在条件允许的前提下，就“站点设置、线性定位”提出中肯合理的地方所求，然后联系铁四院进行多次反复对接协调。四月初进入工程踏勘阶段后，铁办及时对接协调，主动搞好服务，及时索取相关资料，于六月初顺利完成现场踏勘工作任务，工程进入初步设计阶段，基本上达到了预期效果。后期的工作，主要是由铁四院拟定初步设计方案、方案审查、方案审批工作时期（定测、初步设计的时间为4——12个月），铁办的工作处于被动状态，力求变被动为主动，做了很多扎实的协调工作，争取2017年上半年动工。</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益常高速公路复线</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目前已纳入省高速公路建设计划，并启动前期工作。由于该项目建设业主为省交通运输主管部门，工可报告尚未编制评审，暂无法确定建设里程、投资估算。</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于六月初完成踏勘任务，中铁四院已全面进入初步设计阶段，接下来就是初步设计方案核实和批审。</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市交通运输局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向美华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刘  明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力争年底完成工可研报告编制</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二</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十大产业项目（10个）</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6934000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w:t>
            </w:r>
          </w:p>
        </w:tc>
        <w:tc>
          <w:tcPr>
            <w:tcW w:w="1003"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华侨城二期（华侨城常德欢乐谷)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1130亩水公园、陆地公园建设</w:t>
            </w:r>
          </w:p>
        </w:tc>
        <w:tc>
          <w:tcPr>
            <w:tcW w:w="56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2060</w:t>
            </w:r>
          </w:p>
        </w:tc>
        <w:tc>
          <w:tcPr>
            <w:tcW w:w="1985" w:type="dxa"/>
            <w:tcBorders>
              <w:top w:val="nil"/>
              <w:left w:val="nil"/>
              <w:bottom w:val="single" w:color="000000"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水公园二期提质：完成遮阴系统、售票处、化妆间、造浪池等改造；完成设备终端池、造浪池、漂流河池底底壁聚脲施工；完成办公楼改造，山上宿舍改造；花海：已完工。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傅愚山</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10.18开工。年底完成陆公园的三通一平。</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华南光电德山智慧产业园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新建安防设备生产基地</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165000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9830</w:t>
            </w:r>
          </w:p>
        </w:tc>
        <w:tc>
          <w:tcPr>
            <w:tcW w:w="1985" w:type="dxa"/>
            <w:tcBorders>
              <w:top w:val="nil"/>
              <w:left w:val="nil"/>
              <w:bottom w:val="nil"/>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湖南华南光电科技股份有限公司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  霞</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投资方总部审批未果，项目一直停滞不前，已退出市重点工程。</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汉能光伏一期</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新建300WM铜铟镓硒柔性薄膜太阳能电池生产线</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总建筑面积80000平米，包括1栋主体厂房，1栋办公楼，2栋仓库，2栋员工宿舍共6栋建筑均已封顶，正在进行内部装修。</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常德汉能薄膜太阳能科技有限公司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刘洪革</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877"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中联重科起重机械生产基地</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新建20万平米标准化厂房和综合楼</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2016-2019</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26500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1-10月份完成标准化厂房建设30000平方米、购置设备等。</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中联重科常德分公司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李进华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1518"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芙蓉王现代新城</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新建年产160万箱卷烟生产线</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809000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101766</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1826</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8884</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建筑桩基础全部完成，基础工程及地下工程完成50%以上，主体工程相继进入流水施工阶段</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常德卷烟厂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彭中雷</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开始主体工程建设</w:t>
            </w:r>
          </w:p>
        </w:tc>
      </w:tr>
      <w:tr>
        <w:tblPrEx>
          <w:tblLayout w:type="fixed"/>
          <w:tblCellMar>
            <w:top w:w="0" w:type="dxa"/>
            <w:left w:w="28" w:type="dxa"/>
            <w:bottom w:w="0" w:type="dxa"/>
            <w:right w:w="28" w:type="dxa"/>
          </w:tblCellMar>
        </w:tblPrEx>
        <w:trPr>
          <w:trHeight w:val="1524"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高端新材料工业园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新建交通运输、电子电力、机械装备、航空航天等领域工业铝型材加工生产线</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曾亚斌</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已草签了项目合作协议，目前正在按草签协议约定内容进行前期准备工作，暂未动工。</w:t>
            </w:r>
          </w:p>
        </w:tc>
      </w:tr>
      <w:tr>
        <w:tblPrEx>
          <w:tblLayout w:type="fixed"/>
          <w:tblCellMar>
            <w:top w:w="0" w:type="dxa"/>
            <w:left w:w="28" w:type="dxa"/>
            <w:bottom w:w="0" w:type="dxa"/>
            <w:right w:w="28" w:type="dxa"/>
          </w:tblCellMar>
        </w:tblPrEx>
        <w:trPr>
          <w:trHeight w:val="5402"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w:t>
            </w:r>
          </w:p>
        </w:tc>
        <w:tc>
          <w:tcPr>
            <w:tcW w:w="1003"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华大基因常德产业园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建立分子育种中心，基因检测中心，生命健康产业园；开展人才培训，医疗技术合作（基因检测，基因诊断，新生儿出生缺陷预防，精子医疗）</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2016-2025</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大在汉寿投资启动2个子项目分别是基因检测取样和水产品集装箱养殖扶贫项目。目前，基因检测取样已启动,在汉寿设置2个取样点，已完成600多人取样工作并已送至总公司保存；集装箱项目已完成基地基础设施建设；</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投资方要求增加股东，正在积极洽谈，基因项目基本已落定；扶贫水产集装箱养殖项目要带新股东到位后，开会确定养殖水产形式及方向,目前未有新进展。</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市科技局</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汉寿县人民政府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马慧</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杨昶</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年度目标启动2个子基因检测取样和水产品集装箱养殖扶贫项目。目前，基因检测取样已启动,在汉寿设置2个取样点，已完成600多人取样工作并已送至总公司保存；集装箱项目已完成基地基础设施建设</w:t>
            </w:r>
            <w:r>
              <w:rPr>
                <w:rFonts w:ascii="Times New Roman" w:hAnsi="Times New Roman" w:eastAsia="宋体" w:cs="Times New Roman"/>
                <w:color w:val="000000" w:themeColor="text1"/>
                <w:kern w:val="0"/>
                <w:sz w:val="20"/>
                <w:szCs w:val="20"/>
                <w14:textFill>
                  <w14:solidFill>
                    <w14:schemeClr w14:val="tx1"/>
                  </w14:solidFill>
                </w14:textFill>
              </w:rPr>
              <w:br w:type="page"/>
            </w:r>
          </w:p>
        </w:tc>
      </w:tr>
      <w:tr>
        <w:tblPrEx>
          <w:tblLayout w:type="fixed"/>
          <w:tblCellMar>
            <w:top w:w="0" w:type="dxa"/>
            <w:left w:w="28" w:type="dxa"/>
            <w:bottom w:w="0" w:type="dxa"/>
            <w:right w:w="28" w:type="dxa"/>
          </w:tblCellMar>
        </w:tblPrEx>
        <w:trPr>
          <w:trHeight w:val="1943"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新能源汽车产业园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经开区公交大巴与新能源汽车生产项目:规划用地面积500亩，大汉集团与时代电动进行战略合作，在现有资源的基础上，建设客车、随车起重运输车生产线及配套</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2015-2019</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正在进行配套生产</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经开区管委会</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李育智</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 沈习淼</w:t>
            </w:r>
          </w:p>
        </w:tc>
        <w:tc>
          <w:tcPr>
            <w:tcW w:w="20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目前已完成土地挂牌，正在进行配套生产，已累计投资300万元，预计年底前能完成投资500万元</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经开区电动汽车生产项目:项目首期规划用地150亩，建设纯电动汽车生产项目</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正在进行配套生产</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经开区管委会</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李育智</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 沈习淼</w:t>
            </w:r>
          </w:p>
        </w:tc>
        <w:tc>
          <w:tcPr>
            <w:tcW w:w="205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溢多利生物二期</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占地4500亩，总建筑面积40万平方米，引进20家规模以上生物及生物制药企业，新合新二期年产225吨甾体激素原料药GMP扩建，建成年产值过100亿元的生物医药产业集群</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完成土地平整900亩，兼并企业3家，新合新二期试生产</w:t>
            </w: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津市市政府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陈章杰</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完成土地平整900亩，兼并企业3家，新合新二期竣工投产，预计投资1亿元。2017年，计划投资5亿元，扩建生物酶制剂和植物提取物生产线、生物医药及特色医药原料药基地，扩大生产规模，提升企业竞争力</w:t>
            </w:r>
          </w:p>
        </w:tc>
      </w:tr>
      <w:tr>
        <w:tblPrEx>
          <w:tblLayout w:type="fixed"/>
          <w:tblCellMar>
            <w:top w:w="0" w:type="dxa"/>
            <w:left w:w="28" w:type="dxa"/>
            <w:bottom w:w="0" w:type="dxa"/>
            <w:right w:w="28" w:type="dxa"/>
          </w:tblCellMar>
        </w:tblPrEx>
        <w:trPr>
          <w:trHeight w:val="3294"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生命科学与健康产业园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选址柳叶湖，建设中医药一条街、生态社区与健康养老区、太阳谷国际颐养中心等项目</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2016-2023</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总规划已出。我委积极与国药集团、上海复星集团、华大基因、湖南圣湘、益丰药房、力源检验等公司对接产业项目。5月17日，我市正式与国药集团签约，市一中医院建设项目、中医药配方颗粒生产线、医养综合体三个项目正式启动。益丰大药房、华大基因已落户。</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市卫计委</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洪振海</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拿出总规，积极与国药集团、上海复星集团、华大基因、湖南圣湘、益丰药房、力源检验等公司对接产业项目。5月17日，我市正式与国药集团签约，市一中医院建设项目、中医药配方颗粒生产线、医养综合体三个项目正式启动。益丰大药房、华大基因已落户。</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三</w:t>
            </w:r>
          </w:p>
        </w:tc>
        <w:tc>
          <w:tcPr>
            <w:tcW w:w="29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十张名片（10个）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2097084</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桃花源</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3819"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世外桃源文化古镇建设工程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新建衙门、城隍庙、文庙等文化旅游景观及配套设施</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花源古镇项目二期1#地块工程累计完成形象进度90%，正在进行门窗装饰施工；2#地块工程累计完成形象进度88%，正在进行门窗施工；3#地块工程累计完成形象进度79%，正在进行装饰及门窗施工；4#地块工程累计完成形象进度57%，正在进行装饰及门窗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完成全部主体工程，主、次大街装修完成，组团内建筑装修同步进行，路网、停车场、照明等基础设施建设全部完成。</w:t>
            </w:r>
          </w:p>
        </w:tc>
      </w:tr>
      <w:tr>
        <w:tblPrEx>
          <w:tblLayout w:type="fixed"/>
          <w:tblCellMar>
            <w:top w:w="0" w:type="dxa"/>
            <w:left w:w="28" w:type="dxa"/>
            <w:bottom w:w="0" w:type="dxa"/>
            <w:right w:w="28" w:type="dxa"/>
          </w:tblCellMar>
        </w:tblPrEx>
        <w:trPr>
          <w:trHeight w:val="339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桃花源秦谷建设工程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新建动态文化展示区、互动文化体验区、主体文化休闲区3个区域内景观及配套设施</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27550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21850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秦谷景观工程项目完成总体形象进度的71%。其中，游客中心广场，累计完成90%；洞天驿馆正在进行室外地面施工，累计完成85%；颐鼎居主体结构施工，累计完成90%；电瓶车中转站主体柱结构施工80%；道路路基施工累计完成85%。</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房建安装扫尾，主路面铺装完成90%，园建完成95%，绿化完成95%</w:t>
            </w:r>
          </w:p>
        </w:tc>
      </w:tr>
      <w:tr>
        <w:tblPrEx>
          <w:tblLayout w:type="fixed"/>
          <w:tblCellMar>
            <w:top w:w="0" w:type="dxa"/>
            <w:left w:w="28" w:type="dxa"/>
            <w:bottom w:w="0" w:type="dxa"/>
            <w:right w:w="28" w:type="dxa"/>
          </w:tblCellMar>
        </w:tblPrEx>
        <w:trPr>
          <w:trHeight w:val="1235"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③</w:t>
            </w:r>
            <w:r>
              <w:rPr>
                <w:rFonts w:ascii="Times New Roman" w:hAnsi="Times New Roman" w:eastAsia="宋体" w:cs="Times New Roman"/>
                <w:color w:val="000000" w:themeColor="text1"/>
                <w:kern w:val="0"/>
                <w:sz w:val="20"/>
                <w:szCs w:val="20"/>
                <w14:textFill>
                  <w14:solidFill>
                    <w14:schemeClr w14:val="tx1"/>
                  </w14:solidFill>
                </w14:textFill>
              </w:rPr>
              <w:t>桃花源桃源山提质改造工程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道路、绿化、建筑等景观及配套设施建设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5915</w:t>
            </w:r>
          </w:p>
        </w:tc>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16650</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桃花山：桃花山景园、上山游步道、御碑池木栈道正在进行改造；桃源山：1#、4#、6#楼、八卦台卫生间、木栈道正在进行主体施工。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w:t>
            </w:r>
          </w:p>
        </w:tc>
        <w:tc>
          <w:tcPr>
            <w:tcW w:w="20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基本完成主体工程</w:t>
            </w:r>
          </w:p>
        </w:tc>
      </w:tr>
      <w:tr>
        <w:tblPrEx>
          <w:tblLayout w:type="fixed"/>
          <w:tblCellMar>
            <w:top w:w="0" w:type="dxa"/>
            <w:left w:w="28" w:type="dxa"/>
            <w:bottom w:w="0" w:type="dxa"/>
            <w:right w:w="28" w:type="dxa"/>
          </w:tblCellMar>
        </w:tblPrEx>
        <w:trPr>
          <w:trHeight w:val="95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④</w:t>
            </w:r>
            <w:r>
              <w:rPr>
                <w:rFonts w:ascii="Times New Roman" w:hAnsi="Times New Roman" w:eastAsia="宋体" w:cs="Times New Roman"/>
                <w:color w:val="000000" w:themeColor="text1"/>
                <w:kern w:val="0"/>
                <w:sz w:val="20"/>
                <w:szCs w:val="20"/>
                <w14:textFill>
                  <w14:solidFill>
                    <w14:schemeClr w14:val="tx1"/>
                  </w14:solidFill>
                </w14:textFill>
              </w:rPr>
              <w:t>桃花山提质改造工程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道路、绿化、建筑等景观及配套设施建设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11855</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vMerge w:val="continue"/>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166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⑤</w:t>
            </w:r>
            <w:r>
              <w:rPr>
                <w:rFonts w:ascii="Times New Roman" w:hAnsi="Times New Roman" w:eastAsia="宋体" w:cs="Times New Roman"/>
                <w:color w:val="000000" w:themeColor="text1"/>
                <w:kern w:val="0"/>
                <w:sz w:val="20"/>
                <w:szCs w:val="20"/>
                <w14:textFill>
                  <w14:solidFill>
                    <w14:schemeClr w14:val="tx1"/>
                  </w14:solidFill>
                </w14:textFill>
              </w:rPr>
              <w:t>桃花源秦溪建设工程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景观、亲水栈道、河道整治及电瓶车道建设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27345</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16300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秦溪景观工程项目完成总体形象进度的80%，正在进行山水堆岛、水坝水车、五柳码头及电瓶车道施工。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基本完成主体工程</w:t>
            </w:r>
          </w:p>
        </w:tc>
      </w:tr>
      <w:tr>
        <w:tblPrEx>
          <w:tblLayout w:type="fixed"/>
          <w:tblCellMar>
            <w:top w:w="0" w:type="dxa"/>
            <w:left w:w="28" w:type="dxa"/>
            <w:bottom w:w="0" w:type="dxa"/>
            <w:right w:w="28" w:type="dxa"/>
          </w:tblCellMar>
        </w:tblPrEx>
        <w:trPr>
          <w:trHeight w:val="2466"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⑥</w:t>
            </w:r>
            <w:r>
              <w:rPr>
                <w:rFonts w:ascii="Times New Roman" w:hAnsi="Times New Roman" w:eastAsia="宋体" w:cs="Times New Roman"/>
                <w:color w:val="000000" w:themeColor="text1"/>
                <w:kern w:val="0"/>
                <w:sz w:val="20"/>
                <w:szCs w:val="20"/>
                <w14:textFill>
                  <w14:solidFill>
                    <w14:schemeClr w14:val="tx1"/>
                  </w14:solidFill>
                </w14:textFill>
              </w:rPr>
              <w:t>桃花源五柳小镇建设工程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对186户民众住宅及配套设施进行升级改造</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10150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8400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五柳小镇中房公司已完成总体形象进度的50%正在进行游客中心和五柳大院的主体及砌体结构施工，安置小区房屋基础施工,游客中心及停车场植草砖施工。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基本完成主体工程</w:t>
            </w:r>
          </w:p>
        </w:tc>
      </w:tr>
      <w:tr>
        <w:tblPrEx>
          <w:tblLayout w:type="fixed"/>
          <w:tblCellMar>
            <w:top w:w="0" w:type="dxa"/>
            <w:left w:w="28" w:type="dxa"/>
            <w:bottom w:w="0" w:type="dxa"/>
            <w:right w:w="28" w:type="dxa"/>
          </w:tblCellMar>
        </w:tblPrEx>
        <w:trPr>
          <w:trHeight w:val="1619"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桃花源“大型山水实景演出”文化建设工程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新建景区内的旅游主题演出项目</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8750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正在进行秦溪基础设施建设及舞台搭建</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总体工程部分基本完成，剧本创作及舞台设计全部完成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柳叶湖</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951"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柳叶湖景观工程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柳叶诗韵</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w:t>
            </w:r>
          </w:p>
        </w:tc>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1500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项目已完工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柳叶湖管委会绿化管理处</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张少彬</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已完工</w:t>
            </w:r>
          </w:p>
        </w:tc>
      </w:tr>
      <w:tr>
        <w:tblPrEx>
          <w:tblLayout w:type="fixed"/>
          <w:tblCellMar>
            <w:top w:w="0" w:type="dxa"/>
            <w:left w:w="28" w:type="dxa"/>
            <w:bottom w:w="0" w:type="dxa"/>
            <w:right w:w="28" w:type="dxa"/>
          </w:tblCellMar>
        </w:tblPrEx>
        <w:trPr>
          <w:trHeight w:val="123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柳叶风帆</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497</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正在进行基础施工。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常德柳叶湖旅游资产经营有限责任公司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马菱霞</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10月中旬全面建成</w:t>
            </w:r>
          </w:p>
        </w:tc>
      </w:tr>
      <w:tr>
        <w:tblPrEx>
          <w:tblLayout w:type="fixed"/>
          <w:tblCellMar>
            <w:top w:w="0" w:type="dxa"/>
            <w:left w:w="28" w:type="dxa"/>
            <w:bottom w:w="0" w:type="dxa"/>
            <w:right w:w="28" w:type="dxa"/>
          </w:tblCellMar>
        </w:tblPrEx>
        <w:trPr>
          <w:trHeight w:val="951"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柳毅传书</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1650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2000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项目已完工。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资产经营公司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马菱霞</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已完工</w:t>
            </w:r>
          </w:p>
        </w:tc>
      </w:tr>
      <w:tr>
        <w:tblPrEx>
          <w:tblLayout w:type="fixed"/>
          <w:tblCellMar>
            <w:top w:w="0" w:type="dxa"/>
            <w:left w:w="28" w:type="dxa"/>
            <w:bottom w:w="0" w:type="dxa"/>
            <w:right w:w="28" w:type="dxa"/>
          </w:tblCellMar>
        </w:tblPrEx>
        <w:trPr>
          <w:trHeight w:val="140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白鹤仙踪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根据指挥部意见暂缓</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规划局还未确定规划方案</w:t>
            </w:r>
          </w:p>
        </w:tc>
      </w:tr>
      <w:tr>
        <w:tblPrEx>
          <w:tblLayout w:type="fixed"/>
          <w:tblCellMar>
            <w:top w:w="0" w:type="dxa"/>
            <w:left w:w="28" w:type="dxa"/>
            <w:bottom w:w="0" w:type="dxa"/>
            <w:right w:w="28" w:type="dxa"/>
          </w:tblCellMar>
        </w:tblPrEx>
        <w:trPr>
          <w:trHeight w:val="2617"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螺湾观鸟</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400</w:t>
            </w:r>
          </w:p>
        </w:tc>
        <w:tc>
          <w:tcPr>
            <w:tcW w:w="65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3158</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已完成施工，准备预验收。</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鸟博物馆装修已完成，为营造鸟类动物生存环境的湿地吹填岛已完成60%，岛上植物已完成50%，水生植物已完成50%，计划年底完成生态环境的施工，鸟类动物招引第一期实施完成，明年完成全部施工。</w:t>
            </w:r>
          </w:p>
        </w:tc>
      </w:tr>
      <w:tr>
        <w:tblPrEx>
          <w:tblLayout w:type="fixed"/>
          <w:tblCellMar>
            <w:top w:w="0" w:type="dxa"/>
            <w:left w:w="28" w:type="dxa"/>
            <w:bottom w:w="0" w:type="dxa"/>
            <w:right w:w="28" w:type="dxa"/>
          </w:tblCellMar>
        </w:tblPrEx>
        <w:trPr>
          <w:trHeight w:val="1266"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柳叶之门</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市规划局已完成方案征集，正在组织内部方案评审。</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规划局还未确定规划方案</w:t>
            </w:r>
          </w:p>
        </w:tc>
      </w:tr>
      <w:tr>
        <w:tblPrEx>
          <w:tblLayout w:type="fixed"/>
          <w:tblCellMar>
            <w:top w:w="0" w:type="dxa"/>
            <w:left w:w="28" w:type="dxa"/>
            <w:bottom w:w="0" w:type="dxa"/>
            <w:right w:w="28" w:type="dxa"/>
          </w:tblCellMar>
        </w:tblPrEx>
        <w:trPr>
          <w:trHeight w:val="1235"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柳叶湖景观工程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柳湖沙月</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19000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已竣工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常德经为公司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伍千胜</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已完工</w:t>
            </w:r>
          </w:p>
        </w:tc>
      </w:tr>
      <w:tr>
        <w:tblPrEx>
          <w:tblLayout w:type="fixed"/>
          <w:tblCellMar>
            <w:top w:w="0" w:type="dxa"/>
            <w:left w:w="28" w:type="dxa"/>
            <w:bottom w:w="0" w:type="dxa"/>
            <w:right w:w="28" w:type="dxa"/>
          </w:tblCellMar>
        </w:tblPrEx>
        <w:trPr>
          <w:trHeight w:val="5943"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沾天湖南岸园博园</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1242</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武汉园：已完成地形整理，完成竹子栽种；北京园：完成新增游基础施工；深圳园：完成牌楼装饰，正在竹子栽种；厦门园：完成基础土方回填及地形整理，完成游道基础施工。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1、厦门园：已完成基础打桩及水池地板浇筑，正在梯田挡墙施工，预计年底完成基础施工，完成上部结构施工60%。</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2、武汉园：已基本完成施工，正在苗木养护、场地清理，预计年底前完成全部施工。</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3、北京园：已基本完成施工，正在苗木养护，草花栽植、竹林路清基、桃树栽植，预计年底前完成全部施工。</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 xml:space="preserve">4、深圳园：已基本完成施工，正在苗木养护、牌楼墙漆、桃树栽植，预计年底前完成全部施工。 </w:t>
            </w:r>
          </w:p>
        </w:tc>
      </w:tr>
      <w:tr>
        <w:tblPrEx>
          <w:tblLayout w:type="fixed"/>
          <w:tblCellMar>
            <w:top w:w="0" w:type="dxa"/>
            <w:left w:w="28" w:type="dxa"/>
            <w:bottom w:w="0" w:type="dxa"/>
            <w:right w:w="28" w:type="dxa"/>
          </w:tblCellMar>
        </w:tblPrEx>
        <w:trPr>
          <w:trHeight w:val="1266"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步行城二期</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新建集游、购、吃、玩、学于一体的现代城市“购物公园”</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财政补助</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19800</w:t>
            </w:r>
          </w:p>
        </w:tc>
        <w:tc>
          <w:tcPr>
            <w:tcW w:w="1985" w:type="dxa"/>
            <w:tcBorders>
              <w:top w:val="nil"/>
              <w:left w:val="nil"/>
              <w:bottom w:val="single" w:color="000000"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已完成全部脚手架架设，正在进行外墙改造</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武陵区美化工程指挥部</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童  涤</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10月1日对外开放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城头山</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城头山、彭头山、八十垱、鸡叫城、三元宫、丁家岗、孙家岗、十里岗、鸡公垱遗址本体保护、环境整治、展示工程</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2016-2025</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国投</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66000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1.城头山</w:t>
            </w: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遗址及博物馆建设工程，已全部建成并被评为4A景区；</w:t>
            </w: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 xml:space="preserve">配套的5000亩农业大观园，风情小镇建设项目正在建设中；                             2.彭头山、八十垱遗址保护工程已竣工；                    3.澧阳平原史前遗址群考古工作站征拆工作已完成，预计明年上半年可开工建设；                                4.三元宫、丁家岗、十里岗，正在请北京建工建筑设计院编制规划方案。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澧县政府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徐 荩</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1.城头山。项目总投资约10亿元，目前进展：</w:t>
            </w: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投资6亿元遗址及博物馆建设工程，已全部建成并被评为4A景区；</w:t>
            </w: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配套的5000亩农业大观园，风情小镇建设项目正在建设中；                             2.彭头山、八十垱遗址保护工程。总投资5000万元，已竣工；                 3.澧阳平原史前遗址群考古工作站征拆工作已完成，预计明年上半年可开工建设；                                4.三元宫、丁家岗、十里岗：总投资8000万</w:t>
            </w:r>
            <w:r>
              <w:rPr>
                <w:rFonts w:ascii="Times New Roman" w:hAnsi="Times New Roman" w:eastAsia="宋体" w:cs="Times New Roman"/>
                <w:color w:val="000000" w:themeColor="text1"/>
                <w:spacing w:val="-6"/>
                <w:kern w:val="0"/>
                <w:sz w:val="20"/>
                <w:szCs w:val="20"/>
                <w14:textFill>
                  <w14:solidFill>
                    <w14:schemeClr w14:val="tx1"/>
                  </w14:solidFill>
                </w14:textFill>
              </w:rPr>
              <w:t>元，正在请北京建工建筑设计院编制规划方案。</w:t>
            </w: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穿紫河</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东、中段水系整治河道及驳岸整治、绿化、休闲游乐设施等建设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168539</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38308</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2460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75677</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1、四处邻水台阶吊装完成；2、四条环景林荫步道混凝土基础施工完成；3、休闲广场的土方基础开挖换填及碎石垫层完成</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市穿紫河公司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龚智勇</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10月中旬全面建成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穿紫河</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特色商业街新建德国小镇、常德河街及婚庆产业园等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223606</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43500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小河街、麻阳街项目目前所有建筑主体封顶，麻阳街木结构主体完成约90%，仿古屋架及瓦屋面完成约90%。</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市经山水公司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白东明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11月中旬全面建成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老西门</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占地130.08 亩，改造面积22.26平方米</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141474</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老西门：正在进行主体施工</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鑫龙公司：主体封顶。继续宿舍区完成倒房工作南区护壁桩完成70%</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长胜桥：继续发放拆迁款，继续倒房工作，靠朝阳路已砌围墙70米</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市天源公司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12月底全面开街</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江南沅江风光带</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长4.35公里，新建绿化林、儿童游乐中心及大众健身场所等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12300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正在准备风光带画墙的施工。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鼎城城建投资有限公司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龙林云</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12月底全面竣工</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马拉松赛道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长15公里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5150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20749</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北岸：已完成除滩涂外施工；东岸：已完成施工，正在进行扫尾；万金障段：正在进行鹤影湿地栈道铺装、绿化施工；谢家坪驿站正在进行厕所装修、坐凳施工；老堤障段：渔村建筑物结构、折线栈桥、亲水平台已完成、正在进行六角亭结构、钢桥拼装与铺装、建筑物屋面、绿化、游道铺装施工；园博园：渔村建筑物结构、折线</w:t>
            </w:r>
            <w:r>
              <w:rPr>
                <w:rFonts w:ascii="Times New Roman" w:hAnsi="Times New Roman" w:eastAsia="宋体" w:cs="Times New Roman"/>
                <w:color w:val="000000" w:themeColor="text1"/>
                <w:spacing w:val="-6"/>
                <w:kern w:val="0"/>
                <w:sz w:val="20"/>
                <w:szCs w:val="20"/>
                <w14:textFill>
                  <w14:solidFill>
                    <w14:schemeClr w14:val="tx1"/>
                  </w14:solidFill>
                </w14:textFill>
              </w:rPr>
              <w:t>栈桥、亲水平台已完成、正在进行六角亭结构、钢桥拼装与铺装、建筑物屋面、绿化、游道铺装施工。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10月中旬全面建成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29</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东山峰</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新建博物馆、茶叶展厅、壶瓶山欣运车站及猫儿岭接待站等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22700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石门文旅投公司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刘凡中</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匡加才</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红茶坊主体工程完工，景区提改造完成。</w:t>
            </w:r>
          </w:p>
        </w:tc>
      </w:tr>
      <w:tr>
        <w:tblPrEx>
          <w:tblLayout w:type="fixed"/>
          <w:tblCellMar>
            <w:top w:w="0" w:type="dxa"/>
            <w:left w:w="28" w:type="dxa"/>
            <w:bottom w:w="0" w:type="dxa"/>
            <w:right w:w="28" w:type="dxa"/>
          </w:tblCellMar>
        </w:tblPrEx>
        <w:trPr>
          <w:trHeight w:val="949"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万达广场</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新建93万平米的购物、餐饮、休闲娱乐及写字楼等城市商业综合体</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商业已建成开业，正在进行配套设施建设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常德万达广场建设有限公司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张国华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城市综合体9月16日开业，年内完成扫尾工程</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四</w:t>
            </w:r>
          </w:p>
        </w:tc>
        <w:tc>
          <w:tcPr>
            <w:tcW w:w="29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十大民生项目（10个）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1775682</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湘雅常德医院</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按三级甲等医院标准新建27万平方米门急诊楼、住院楼等，总床位1500张</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196000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72292</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项目土建工程基本完成，暖通、消防、幕墙安装工程完成95%，弱电安装工程完成85%， 精装修工程完成65%，景观施工完成60%，医疗配套专业按进精装修节点要求配合施工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市经建投集团公司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市经缘公司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胡爱军</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12月试营业</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江南新城</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鼎城临江棚改</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2015-2022</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620000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9525</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已完成1#6#7#8#9#筏板基础混凝土浇筑；本月已启动东侧承台启动施工；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常德市江南城市发展有限公司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   辉</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经开区棚改涉及户数1963户，改造面积34.49万平米</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234745</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234745</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51800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已完成拆迁1005户</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经开区建管局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熊  政</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w:t>
            </w:r>
          </w:p>
        </w:tc>
        <w:tc>
          <w:tcPr>
            <w:tcW w:w="1003" w:type="dxa"/>
            <w:tcBorders>
              <w:top w:val="nil"/>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职业教育大学城（智慧谷）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常德技师学院</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资产置换</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95012</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19900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完成绿化增补工程的施工，完成景观湖水体治理工程，组织施工单位开展各单项工程的预验收整改及验收准备工作。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tcBorders>
              <w:top w:val="nil"/>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单体全部完成 ，已经交付使用了，景观湖水体进化准备施工,绿化增补施工 ，预计年底完成竣工</w:t>
            </w:r>
          </w:p>
        </w:tc>
      </w:tr>
      <w:tr>
        <w:tblPrEx>
          <w:tblLayout w:type="fixed"/>
          <w:tblCellMar>
            <w:top w:w="0" w:type="dxa"/>
            <w:left w:w="28" w:type="dxa"/>
            <w:bottom w:w="0" w:type="dxa"/>
            <w:right w:w="28" w:type="dxa"/>
          </w:tblCellMar>
        </w:tblPrEx>
        <w:trPr>
          <w:trHeight w:val="680" w:hRule="atLeast"/>
          <w:jc w:val="center"/>
        </w:trPr>
        <w:tc>
          <w:tcPr>
            <w:tcW w:w="337" w:type="dxa"/>
            <w:tcBorders>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w:t>
            </w:r>
          </w:p>
        </w:tc>
        <w:tc>
          <w:tcPr>
            <w:tcW w:w="1003" w:type="dxa"/>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职业教育大学城（智慧谷）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常德财经职业技术学院</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资产置换</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99420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6370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正开展公共教学楼和宿舍的招标工作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tcBorders>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预计招标办在10月底有结果，11月财校公共教学楼和宿舍开工建设。年底基本完成公共教学楼和宿舍房屋基础施工，并开展主体结构施工。</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职业教育大学城（智慧谷）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高泗路</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19597</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完成了金丹路以西段雨污水管道,、土路基精加工和水稳层一层施工。并开展金丹路-两师大门口段250米污水管道修复工作。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完成金丹路以西段的路基建设。</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金丹路</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45908</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18200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沅安路-高泗路段沥青层铺设完成，正开展综合管网和中间绿化带施工，高泗路--新河渠段正开展高压旋喷和污水管道施工。新河渠桥已完成桥梁承台施工。人民路—柳西路沥青层施工一半。</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基本完成道路建设工作</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脱贫攻坚系列项目</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1、产业发展：342个贫困村每村都有1-2个特色产业；投资5000万元。建成3个省级、4个市级、40个县级扶贫重点项目基地；投资2000万元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2、助学培训：每年“雨露计划”助学补助到人500万元。农村实用技术，及转移就业技能培训100万元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3、基础设施和公共服务：全市共新建扩建村级活动场所约30个，共投入资金约400万元。贫困村堰塘清淤、渠道疏浚、渠道硬化、机埠改造、提灌设施配套等水利设施建设等投资约2400万元。全市所有贫困村村内主干道硬化、村道整修等约200公里共投入资金约4000万元。危桥改造、人行便桥建设等约5座，共投入资金约300万元产业开发基础设施配套资金约1000万元。农网改造升级约1000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4、搬迁改造：易地搬迁9350人，投资约18700万元。危房改造完成2400户，投入约2400万元</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贫困村1-2个特色产业初步完成，投资5000万元。省、市、县级扶贫重点项目基地分布在石门、桃源等贫困人口较多的县，完成投资2000万元。投放扶贫小额信贷25000万元用于贫困农户发展产业。</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全市共新建扩建村级活动场所约300个，共投入资金约3993.4万元。贫困村堰塘清淤、渠道疏浚、渠道硬化、机埠改造、提灌设施配套等水利设施建设等投资约10541.9万元。全市所有贫困村村内主干道硬化、村道整修等约200公里共投入资金约18711万元。危桥改造、人行便桥建设等约5座，共投入资金约300万元产业开发基础设施配套资金约1000万元。农网改造升级1077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计划易地搬迁9351人（其中集中安置3668人，分散安置5683人），全市集中安置项目51个，正在建房的项目30个，建房率58.82%；全市分散安置1962户，正在建房1773户，建房率90.37%。计划危房改造9591户，已动工6511户，动工率达67.89%。</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市扶贫办</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徐术福</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1、产业发展：贫困村1-2个特色产业初步完成，投资5000万元。省、市、县级扶贫重点项目基地分布在石门、桃源等贫困人口较多的县，完成投资2000万元。投放扶贫小额信贷19027万元用于贫困农户发展产业。</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2、助学培训：每年“雨露计划”助学补助到人500万元。农村实用技术，及转移就业技能培训100万元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3、基础设施和公共服务：对44个村小学或教学点进行了维修改造，对48个贫困村实行了农网改造，新建硬化村组公路850公里，300个村级卫生室实行了升级达村。</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4、搬迁改造：计划易地搬迁9351人（其中集中安置3668人，分散安置5683人），项目已全部开工，完成投资27788万元，完成率49.5%。计划危房改造9591户，已动工4840户，完成率50.46%。下阶段，紧盯年度目标任务，完成年度计划。</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一、产业开发方面。增加扶贫小额信贷投放量，帮助更多贫困农户发展产业，增加收入。</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二、助学培训方面。完成“雨露计划”助学到人500万元，农村实用技术培训、转移就业培训100万元投资。</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三、基础设施和公共服务方面。新建扩建村级活动场所投资400万元，贫困村水利建设投资2400万元，产业开发基础设施配套投资1000万元。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四、搬迁改造方面。全面完成易地搬迁建档立卡贫困人口9351人，危房改造9591户的年度任务。</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现代农业科技产业园建设工程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新建具有农业科技创新、科技成果孵化、现代农业示范、科技培训等国家级农业科技园区。核心区用地3000亩，一期1000亩，新建市农林科学研究院科技大楼、实验区等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在建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市农业科研中心建设工程正在进行桩基础施工。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常德现代农业科技投资公司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汪国平</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一期70000</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完美社区建设</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2016年完美社区建设项目计划62个（街道7</w:t>
            </w:r>
            <w:r>
              <w:rPr>
                <w:rFonts w:ascii="Times New Roman" w:hAnsi="Times New Roman" w:eastAsia="宋体" w:cs="Times New Roman"/>
                <w:color w:val="000000" w:themeColor="text1"/>
                <w:spacing w:val="-6"/>
                <w:kern w:val="0"/>
                <w:sz w:val="20"/>
                <w:szCs w:val="20"/>
                <w14:textFill>
                  <w14:solidFill>
                    <w14:schemeClr w14:val="tx1"/>
                  </w14:solidFill>
                </w14:textFill>
              </w:rPr>
              <w:t>个、社区35个、派出所11个、幼儿园3个、卫生计生服务中心6个），其中新建项目57个，改扩建项目5个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818</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25505</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2016年完美社区建设项目已提前开工57个，其中街道7个、社区32个、派出所11个、幼儿园3个、卫生计生服务中心6个。</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市民政局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龚美爱</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2016年完美社区62个建设项目年底全部开工，其中新建项目57个，改扩建项目5个，预计投资2.8亿。</w:t>
            </w:r>
            <w:r>
              <w:rPr>
                <w:rFonts w:ascii="Times New Roman" w:hAnsi="Times New Roman" w:eastAsia="宋体" w:cs="Times New Roman"/>
                <w:color w:val="000000" w:themeColor="text1"/>
                <w:kern w:val="0"/>
                <w:sz w:val="20"/>
                <w:szCs w:val="20"/>
                <w14:textFill>
                  <w14:solidFill>
                    <w14:schemeClr w14:val="tx1"/>
                  </w14:solidFill>
                </w14:textFill>
              </w:rPr>
              <w:br w:type="page"/>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37</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美丽乡村建设</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实行整市推进美丽乡村建设5年行动计划，着力建设美丽乡村建设“六大工程”，着力推进“五化”重点工作，力争2016年完成16个省为民办实事示范村建设任务，70%市级示范村达到美丽乡村标准。</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7800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79549</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目前全市示范村建设总体进度达到年度预期，“五化”任务已进入建设高峰期，总体进度达年度80%以上，16个省为民办实事示范村建设已完成总任务的100%，市政府授牌31个美丽乡村示范村，省级先进县和授牌村考核验收已经开始。</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市美丽乡村建设指挥部办公室</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李百艳</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徐正宪</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坚持“跳出农业抓农村”，按照村庄美、村民富、村风好的总要求和“四美一化”的建设标准，以环境整治、庭院美化为突破口，全面开展百村示范、村村创建行动，实施整市推进美丽乡村五年行动计划，</w:t>
            </w:r>
            <w:r>
              <w:rPr>
                <w:rFonts w:ascii="Times New Roman" w:hAnsi="Times New Roman" w:eastAsia="宋体" w:cs="Times New Roman"/>
                <w:color w:val="000000" w:themeColor="text1"/>
                <w:spacing w:val="-6"/>
                <w:kern w:val="0"/>
                <w:sz w:val="20"/>
                <w:szCs w:val="20"/>
                <w14:textFill>
                  <w14:solidFill>
                    <w14:schemeClr w14:val="tx1"/>
                  </w14:solidFill>
                </w14:textFill>
              </w:rPr>
              <w:t>力争2017年全市建成100个美丽乡村示范村，2020年全市20%的村基本达到美丽乡村标准。</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“两水四岸”环境整治</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重点县城风光带建设、河道保洁、沿河垃圾清理及堤防维护达标</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27500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鼎城、桃源、澧县等3个县城风光带一期基本建成，石门县城风光带建设完成方案审批，桃源县城风光带二期建设准备招标，总体进度约15%左右。</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市水利局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黄云新</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全市完成沿江风光带32处，63.5公里长，资金投入128600万元；堤防规范化21处，123公里长，资金投入52320万元；河道规范4处，6.5公里长，资金投入210万元；水环境规范50处，80公里长，资金投入7089万元。</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39</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水环境水生态建设工程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洞庭湖生态经济区五大行动实施重点水域生活污水处理设施建设工程3个，实施生猪养殖污染生态综合治理工程1个，实施河湖连通工程3个，实施重点水域农村生活垃圾集中收运系统工程项目2个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7789</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77685</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津市工业污水处理厂及管网建设工程已完成厂区征地拆迁，新建主管网2千米；西毛里湖流域集镇生活污水处理及管网建设工程五个集镇生活污水处理系统已基本完工，现污水处理站正在试运行；畜禽养殖污染治理、水产养殖污染治理制定了方案，摸清了底子。已退养16户，拆除栏舍99078.52平方米，新建、改造了养殖废弃物集中式综合利用和无害化处理设施10处，已拆除网箱7551口，197953平方米。实施3条大型沟渠清淤3.12千米，15条小型沟渠清淤49.62千米，西毛里湖排涝泵站新建工程完成征地拆迁，泵站主体完成70%，设备已订购；城内垸防洪防涝工程泵站主体建成，正实施前池及分流渠新建，老沟渠清淤改造；河湖垃圾治理清理1-9月份累积新建79处垃圾转运点，新建25处垃圾转运站。</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桃源典型流域农业面源污染综合治理试点建设项目目前正在编制初步设计方案，已完成初步设计方案专家评审工作；县城第二污水处理厂已完成厂区建设工程量80%，配套管网已完成13.7公里；东区污水处理厂已完成前期论证、选址等工作，正在开展土地调规；县城第三污水处理厂已完成厂区选址、工艺等前期论证工作；常德沅水桃源段水污染综合整治已完成部分基础工程，主体工程在招标中，2015年畜禽粪污等农业农村废弃物综合利用试点项目土建工程正在设计、预算；设备正在洽谈、采购；规模养殖户正在进行设施设备改造。</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常德市西湖污水处理厂及雨污分流管网设施建设项目污水处理厂已修建完成，部分管网正在修建中。</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安乡县城西污水处理厂正在进行围墙施工；场区内平整；临时用电申报。黄山头污水处理厂正在进行征地拆迁,实物清点；</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澧县河湖水网连通生态水利工程拆迁、施工放线、开挖；常德市澧县城区水污染综合治理项目拆迁、施工放</w:t>
            </w:r>
            <w:r>
              <w:rPr>
                <w:rFonts w:ascii="Times New Roman" w:hAnsi="Times New Roman" w:eastAsia="宋体" w:cs="Times New Roman"/>
                <w:color w:val="000000" w:themeColor="text1"/>
                <w:spacing w:val="-6"/>
                <w:kern w:val="0"/>
                <w:sz w:val="20"/>
                <w:szCs w:val="20"/>
                <w14:textFill>
                  <w14:solidFill>
                    <w14:schemeClr w14:val="tx1"/>
                  </w14:solidFill>
                </w14:textFill>
              </w:rPr>
              <w:t>线。</w:t>
            </w:r>
            <w:r>
              <w:rPr>
                <w:rFonts w:ascii="Times New Roman" w:hAnsi="Times New Roman" w:eastAsia="宋体" w:cs="Times New Roman"/>
                <w:color w:val="000000" w:themeColor="text1"/>
                <w:spacing w:val="-6"/>
                <w:kern w:val="0"/>
                <w:sz w:val="20"/>
                <w:szCs w:val="20"/>
                <w14:textFill>
                  <w14:solidFill>
                    <w14:schemeClr w14:val="tx1"/>
                  </w14:solidFill>
                </w14:textFill>
              </w:rPr>
              <w:br w:type="page"/>
            </w:r>
            <w:r>
              <w:rPr>
                <w:rFonts w:ascii="Times New Roman" w:hAnsi="Times New Roman" w:eastAsia="宋体" w:cs="Times New Roman"/>
                <w:color w:val="000000" w:themeColor="text1"/>
                <w:spacing w:val="-6"/>
                <w:kern w:val="0"/>
                <w:sz w:val="20"/>
                <w:szCs w:val="20"/>
                <w14:textFill>
                  <w14:solidFill>
                    <w14:schemeClr w14:val="tx1"/>
                  </w14:solidFill>
                </w14:textFill>
              </w:rPr>
              <w:t>西洞庭河湖渠连通工程部分渠道清淤已启动，本月申报专项建设基金。西洞庭管理区农村环境综合整治整区推进项目竣工验收资料准备。</w:t>
            </w:r>
            <w:r>
              <w:rPr>
                <w:rFonts w:ascii="Times New Roman" w:hAnsi="Times New Roman" w:eastAsia="宋体" w:cs="Times New Roman"/>
                <w:color w:val="000000" w:themeColor="text1"/>
                <w:spacing w:val="-6"/>
                <w:kern w:val="0"/>
                <w:sz w:val="20"/>
                <w:szCs w:val="20"/>
                <w14:textFill>
                  <w14:solidFill>
                    <w14:schemeClr w14:val="tx1"/>
                  </w14:solidFill>
                </w14:textFill>
              </w:rPr>
              <w:br w:type="page"/>
            </w:r>
            <w:r>
              <w:rPr>
                <w:rFonts w:ascii="Times New Roman" w:hAnsi="Times New Roman" w:eastAsia="宋体" w:cs="Times New Roman"/>
                <w:color w:val="000000" w:themeColor="text1"/>
                <w:spacing w:val="-6"/>
                <w:kern w:val="0"/>
                <w:sz w:val="20"/>
                <w:szCs w:val="20"/>
                <w14:textFill>
                  <w14:solidFill>
                    <w14:schemeClr w14:val="tx1"/>
                  </w14:solidFill>
                </w14:textFill>
              </w:rPr>
              <w:t>石门县城乡生活垃圾一体化收运工程建设部分基本完工，正在进行相关设备采购。</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杨明波</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进一步加快推进生态文明建设，充分发挥中央预算内、省预算内投资引导作用，推进洞庭湖生态经济区水环境综合治理重大工程建设，              切实增加和改善环境基本公共服务供给，改善洞庭湖生态经济区水环境质量、恢复水生态、保障水安全。</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nil"/>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市城区黑臭水体治理工程包括夏家垱水系、罗新沟、敖家巷沟、红庙街、白马湖水面、屈原公园、穿紫河、护城河８个黑臭水体整治</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5683</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红庙沟已竣工，夏家垱水系一期已完成</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二期完成90%三期未开工，敖家沟完成98%，屈原公园完成42%，护城河完成48%，穿紫河78%</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市住建局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市环保局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黄金陵</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夏家垱水系：完成一、二期工程主体及配套。敖家沟：完成人民路至双拥路段整治，对双拥路至皇木关雨水机埠段进行清淤及水生植物栽培。红庙沟：消除黑臭。屈原公园：对水面进行垃圾清理，完成周边截污。护城河：完成周边截污，对河道进行清淤，消除部分黑臭。穿紫河：完成全线截污。</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w:t>
            </w:r>
          </w:p>
        </w:tc>
        <w:tc>
          <w:tcPr>
            <w:tcW w:w="1003" w:type="dxa"/>
            <w:vMerge w:val="restart"/>
            <w:tcBorders>
              <w:top w:val="nil"/>
              <w:left w:val="single" w:color="auto" w:sz="4" w:space="0"/>
              <w:bottom w:val="single" w:color="000000"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黄石水库水资源综合利用工程“引黄入常”备用水源工程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自黄石水库大坝高程约77米处埋管，本段长62.51千米。五里溪至常德市西郊25千米，全线总长87.51千米</w:t>
            </w:r>
          </w:p>
        </w:tc>
        <w:tc>
          <w:tcPr>
            <w:tcW w:w="567" w:type="dxa"/>
            <w:vMerge w:val="restart"/>
            <w:tcBorders>
              <w:top w:val="nil"/>
              <w:left w:val="nil"/>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正在进行可研方案编制和立项前期工作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市住建局</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中瀚水务</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黄金陵</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刘明  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黄石水库水资源综合利用项目，已将该项目的论证方案上报规划局，待市规委会讨论通过后进行下一步工作，争取完成立项工作。</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000000" w:sz="4" w:space="0"/>
              <w:right w:val="nil"/>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黄石水库至五里溪水库线路全长58km，供水线路沿着黄石水库总干渠、北干渠至鼎城区五里溪水库</w:t>
            </w:r>
          </w:p>
        </w:tc>
        <w:tc>
          <w:tcPr>
            <w:tcW w:w="567" w:type="dxa"/>
            <w:vMerge w:val="continue"/>
            <w:tcBorders>
              <w:top w:val="nil"/>
              <w:left w:val="nil"/>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55000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向人大汇报工作情况；待确定引水流量。</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金禹水投</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刘明  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已完成初步规划方案，待落实方案引水流量，如引水流量确定，年前计划完成立项。</w:t>
            </w:r>
          </w:p>
        </w:tc>
      </w:tr>
    </w:tbl>
    <w:p>
      <w:pPr>
        <w:widowControl/>
        <w:jc w:val="left"/>
        <w:rPr>
          <w:rFonts w:ascii="Times New Roman" w:hAnsi="Times New Roman" w:cs="Times New Roman"/>
        </w:rPr>
      </w:pPr>
    </w:p>
    <w:sectPr>
      <w:footerReference r:id="rId3" w:type="default"/>
      <w:footerReference r:id="rId4" w:type="even"/>
      <w:pgSz w:w="16838" w:h="11906" w:orient="landscape"/>
      <w:pgMar w:top="1134" w:right="765" w:bottom="1134" w:left="765"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668091"/>
    </w:sdtPr>
    <w:sdtContent>
      <w:p>
        <w:pPr>
          <w:pStyle w:val="3"/>
          <w:jc w:val="cente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43</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077268814"/>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AD"/>
    <w:rsid w:val="000203D0"/>
    <w:rsid w:val="000812E2"/>
    <w:rsid w:val="00535F0E"/>
    <w:rsid w:val="0060690C"/>
    <w:rsid w:val="00836A8D"/>
    <w:rsid w:val="009B7DB7"/>
    <w:rsid w:val="00B54BC9"/>
    <w:rsid w:val="00B7068F"/>
    <w:rsid w:val="00BD624E"/>
    <w:rsid w:val="00BE45A1"/>
    <w:rsid w:val="00C1013B"/>
    <w:rsid w:val="00C16FF3"/>
    <w:rsid w:val="00C86CAD"/>
    <w:rsid w:val="00C92C8A"/>
    <w:rsid w:val="00CD498E"/>
    <w:rsid w:val="00DF0219"/>
    <w:rsid w:val="00E165A6"/>
    <w:rsid w:val="469569C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222"/>
    <w:unhideWhenUsed/>
    <w:qFormat/>
    <w:uiPriority w:val="99"/>
    <w:rPr>
      <w:sz w:val="18"/>
      <w:szCs w:val="18"/>
    </w:rPr>
  </w:style>
  <w:style w:type="paragraph" w:styleId="3">
    <w:name w:val="footer"/>
    <w:basedOn w:val="1"/>
    <w:link w:val="163"/>
    <w:unhideWhenUsed/>
    <w:qFormat/>
    <w:uiPriority w:val="99"/>
    <w:pPr>
      <w:tabs>
        <w:tab w:val="center" w:pos="4153"/>
        <w:tab w:val="right" w:pos="8306"/>
      </w:tabs>
      <w:snapToGrid w:val="0"/>
      <w:jc w:val="left"/>
    </w:pPr>
    <w:rPr>
      <w:sz w:val="18"/>
      <w:szCs w:val="18"/>
    </w:rPr>
  </w:style>
  <w:style w:type="paragraph" w:styleId="4">
    <w:name w:val="header"/>
    <w:basedOn w:val="1"/>
    <w:link w:val="16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u w:val="single"/>
    </w:rPr>
  </w:style>
  <w:style w:type="paragraph" w:customStyle="1" w:styleId="9">
    <w:name w:val="font5"/>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7"/>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
    <w:name w:val="font8"/>
    <w:basedOn w:val="1"/>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
    <w:name w:val="font9"/>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
    <w:name w:val="font10"/>
    <w:basedOn w:val="1"/>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5">
    <w:name w:val="font11"/>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12"/>
    <w:basedOn w:val="1"/>
    <w:uiPriority w:val="0"/>
    <w:pPr>
      <w:widowControl/>
      <w:spacing w:before="100" w:beforeAutospacing="1" w:after="100" w:afterAutospacing="1"/>
      <w:jc w:val="left"/>
    </w:pPr>
    <w:rPr>
      <w:rFonts w:ascii="宋体" w:hAnsi="宋体" w:eastAsia="宋体" w:cs="宋体"/>
      <w:b/>
      <w:bCs/>
      <w:kern w:val="0"/>
      <w:sz w:val="40"/>
      <w:szCs w:val="40"/>
    </w:rPr>
  </w:style>
  <w:style w:type="paragraph" w:customStyle="1" w:styleId="17">
    <w:name w:val="xl2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8">
    <w:name w:val="xl2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9">
    <w:name w:val="xl2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20">
    <w:name w:val="xl2179"/>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21">
    <w:name w:val="xl2180"/>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2">
    <w:name w:val="xl218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
    <w:name w:val="xl2182"/>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b/>
      <w:bCs/>
      <w:kern w:val="0"/>
      <w:sz w:val="20"/>
      <w:szCs w:val="20"/>
    </w:rPr>
  </w:style>
  <w:style w:type="paragraph" w:customStyle="1" w:styleId="24">
    <w:name w:val="xl218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5">
    <w:name w:val="xl2184"/>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26">
    <w:name w:val="xl2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7">
    <w:name w:val="xl21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8">
    <w:name w:val="xl2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9">
    <w:name w:val="xl2188"/>
    <w:basedOn w:val="1"/>
    <w:uiPriority w:val="0"/>
    <w:pPr>
      <w:widowControl/>
      <w:spacing w:before="100" w:beforeAutospacing="1" w:after="100" w:afterAutospacing="1"/>
      <w:jc w:val="center"/>
    </w:pPr>
    <w:rPr>
      <w:rFonts w:ascii="Times New Roman" w:hAnsi="Times New Roman" w:eastAsia="宋体" w:cs="Times New Roman"/>
      <w:b/>
      <w:bCs/>
      <w:kern w:val="0"/>
      <w:sz w:val="40"/>
      <w:szCs w:val="40"/>
    </w:rPr>
  </w:style>
  <w:style w:type="paragraph" w:customStyle="1" w:styleId="30">
    <w:name w:val="xl2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1">
    <w:name w:val="xl2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2">
    <w:name w:val="xl2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
    <w:name w:val="xl2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2193"/>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5">
    <w:name w:val="xl2194"/>
    <w:basedOn w:val="1"/>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36">
    <w:name w:val="xl2195"/>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7">
    <w:name w:val="xl2196"/>
    <w:basedOn w:val="1"/>
    <w:uiPriority w:val="0"/>
    <w:pPr>
      <w:widowControl/>
      <w:spacing w:before="100" w:beforeAutospacing="1" w:after="100" w:afterAutospacing="1"/>
      <w:jc w:val="left"/>
    </w:pPr>
    <w:rPr>
      <w:rFonts w:ascii="Times New Roman" w:hAnsi="Times New Roman" w:eastAsia="宋体" w:cs="Times New Roman"/>
      <w:b/>
      <w:bCs/>
      <w:kern w:val="0"/>
      <w:sz w:val="40"/>
      <w:szCs w:val="40"/>
    </w:rPr>
  </w:style>
  <w:style w:type="paragraph" w:customStyle="1" w:styleId="38">
    <w:name w:val="xl2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9">
    <w:name w:val="xl2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40">
    <w:name w:val="xl2199"/>
    <w:basedOn w:val="1"/>
    <w:uiPriority w:val="0"/>
    <w:pPr>
      <w:widowControl/>
      <w:spacing w:before="100" w:beforeAutospacing="1" w:after="100" w:afterAutospacing="1"/>
      <w:jc w:val="left"/>
    </w:pPr>
    <w:rPr>
      <w:rFonts w:ascii="Times New Roman" w:hAnsi="Times New Roman" w:eastAsia="宋体" w:cs="Times New Roman"/>
      <w:b/>
      <w:bCs/>
      <w:kern w:val="0"/>
      <w:sz w:val="40"/>
      <w:szCs w:val="40"/>
    </w:rPr>
  </w:style>
  <w:style w:type="paragraph" w:customStyle="1" w:styleId="41">
    <w:name w:val="xl220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42">
    <w:name w:val="xl2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43">
    <w:name w:val="xl22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4">
    <w:name w:val="xl22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5">
    <w:name w:val="xl22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b/>
      <w:bCs/>
      <w:kern w:val="0"/>
      <w:sz w:val="20"/>
      <w:szCs w:val="20"/>
    </w:rPr>
  </w:style>
  <w:style w:type="paragraph" w:customStyle="1" w:styleId="46">
    <w:name w:val="xl220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7">
    <w:name w:val="xl2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48">
    <w:name w:val="xl2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49">
    <w:name w:val="xl2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0">
    <w:name w:val="xl2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
    <w:name w:val="xl2210"/>
    <w:basedOn w:val="1"/>
    <w:qFormat/>
    <w:uiPriority w:val="0"/>
    <w:pPr>
      <w:widowControl/>
      <w:pBdr>
        <w:bottom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52">
    <w:name w:val="xl2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53">
    <w:name w:val="xl2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4">
    <w:name w:val="xl22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5">
    <w:name w:val="xl2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6">
    <w:name w:val="xl221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57">
    <w:name w:val="xl2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8">
    <w:name w:val="xl22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9">
    <w:name w:val="xl2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0"/>
      <w:szCs w:val="20"/>
    </w:rPr>
  </w:style>
  <w:style w:type="paragraph" w:customStyle="1" w:styleId="60">
    <w:name w:val="xl22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
    <w:name w:val="xl2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62">
    <w:name w:val="xl2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eastAsia="宋体" w:cs="Tahoma"/>
      <w:kern w:val="0"/>
      <w:sz w:val="18"/>
      <w:szCs w:val="18"/>
    </w:rPr>
  </w:style>
  <w:style w:type="paragraph" w:customStyle="1" w:styleId="63">
    <w:name w:val="xl222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4">
    <w:name w:val="xl2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5">
    <w:name w:val="xl2224"/>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66">
    <w:name w:val="xl2225"/>
    <w:basedOn w:val="1"/>
    <w:qFormat/>
    <w:uiPriority w:val="0"/>
    <w:pPr>
      <w:widowControl/>
      <w:pBdr>
        <w:bottom w:val="single" w:color="000000" w:sz="4" w:space="0"/>
        <w:right w:val="single" w:color="000000" w:sz="4" w:space="0"/>
      </w:pBdr>
      <w:spacing w:before="100" w:beforeAutospacing="1" w:after="100" w:afterAutospacing="1"/>
      <w:jc w:val="right"/>
    </w:pPr>
    <w:rPr>
      <w:rFonts w:ascii="宋体" w:hAnsi="宋体" w:eastAsia="宋体" w:cs="宋体"/>
      <w:kern w:val="0"/>
      <w:sz w:val="20"/>
      <w:szCs w:val="20"/>
    </w:rPr>
  </w:style>
  <w:style w:type="paragraph" w:customStyle="1" w:styleId="67">
    <w:name w:val="xl2226"/>
    <w:basedOn w:val="1"/>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68">
    <w:name w:val="xl22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69">
    <w:name w:val="xl2228"/>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0">
    <w:name w:val="xl22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1">
    <w:name w:val="xl2230"/>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
    <w:name w:val="xl2231"/>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3">
    <w:name w:val="xl22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4">
    <w:name w:val="xl223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5">
    <w:name w:val="xl223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6">
    <w:name w:val="xl2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7">
    <w:name w:val="xl2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8">
    <w:name w:val="xl2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79">
    <w:name w:val="xl2238"/>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80">
    <w:name w:val="xl223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1">
    <w:name w:val="xl2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2">
    <w:name w:val="xl2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
    <w:name w:val="xl2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4">
    <w:name w:val="xl2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5">
    <w:name w:val="xl2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6">
    <w:name w:val="xl224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7">
    <w:name w:val="xl22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8">
    <w:name w:val="xl22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89">
    <w:name w:val="xl2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90">
    <w:name w:val="xl22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225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22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22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4">
    <w:name w:val="xl22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5">
    <w:name w:val="xl225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6">
    <w:name w:val="xl2255"/>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97">
    <w:name w:val="xl22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22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99">
    <w:name w:val="xl2258"/>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方正仿宋_GBK" w:hAnsi="宋体" w:eastAsia="方正仿宋_GBK" w:cs="宋体"/>
      <w:color w:val="000000"/>
      <w:kern w:val="0"/>
      <w:sz w:val="18"/>
      <w:szCs w:val="18"/>
    </w:rPr>
  </w:style>
  <w:style w:type="paragraph" w:customStyle="1" w:styleId="100">
    <w:name w:val="xl2259"/>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方正仿宋_GBK" w:hAnsi="宋体" w:eastAsia="方正仿宋_GBK" w:cs="宋体"/>
      <w:color w:val="000000"/>
      <w:kern w:val="0"/>
      <w:sz w:val="18"/>
      <w:szCs w:val="18"/>
    </w:rPr>
  </w:style>
  <w:style w:type="paragraph" w:customStyle="1" w:styleId="101">
    <w:name w:val="xl2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2">
    <w:name w:val="xl22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3">
    <w:name w:val="xl22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4">
    <w:name w:val="xl22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5">
    <w:name w:val="xl22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2265"/>
    <w:basedOn w:val="1"/>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07">
    <w:name w:val="xl2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08">
    <w:name w:val="xl226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09">
    <w:name w:val="xl22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10">
    <w:name w:val="xl2269"/>
    <w:basedOn w:val="1"/>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2"/>
    </w:rPr>
  </w:style>
  <w:style w:type="paragraph" w:customStyle="1" w:styleId="111">
    <w:name w:val="xl22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4"/>
      <w:szCs w:val="24"/>
    </w:rPr>
  </w:style>
  <w:style w:type="paragraph" w:customStyle="1" w:styleId="112">
    <w:name w:val="xl22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13">
    <w:name w:val="xl22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14">
    <w:name w:val="xl2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15">
    <w:name w:val="xl22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6">
    <w:name w:val="xl2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0"/>
      <w:szCs w:val="20"/>
    </w:rPr>
  </w:style>
  <w:style w:type="paragraph" w:customStyle="1" w:styleId="117">
    <w:name w:val="xl22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8">
    <w:name w:val="xl227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19">
    <w:name w:val="xl22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20">
    <w:name w:val="xl2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2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2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23">
    <w:name w:val="xl228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4">
    <w:name w:val="xl228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5">
    <w:name w:val="xl22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6">
    <w:name w:val="xl22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27">
    <w:name w:val="xl22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2"/>
    </w:rPr>
  </w:style>
  <w:style w:type="paragraph" w:customStyle="1" w:styleId="128">
    <w:name w:val="xl228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9">
    <w:name w:val="xl2288"/>
    <w:basedOn w:val="1"/>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30">
    <w:name w:val="xl22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31">
    <w:name w:val="xl22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32">
    <w:name w:val="xl22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3">
    <w:name w:val="xl22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4">
    <w:name w:val="xl229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22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6">
    <w:name w:val="xl22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37">
    <w:name w:val="xl22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8">
    <w:name w:val="xl229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9">
    <w:name w:val="xl229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0">
    <w:name w:val="xl229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230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2301"/>
    <w:basedOn w:val="1"/>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2302"/>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2303"/>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45">
    <w:name w:val="xl23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46">
    <w:name w:val="xl2305"/>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7">
    <w:name w:val="xl2306"/>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8">
    <w:name w:val="xl23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9">
    <w:name w:val="xl23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0">
    <w:name w:val="xl23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1">
    <w:name w:val="xl2310"/>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
    <w:name w:val="xl231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3">
    <w:name w:val="xl2312"/>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4">
    <w:name w:val="xl2313"/>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155">
    <w:name w:val="xl2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56">
    <w:name w:val="xl23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57">
    <w:name w:val="xl23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58">
    <w:name w:val="xl23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59">
    <w:name w:val="xl2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31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1">
    <w:name w:val="xl232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62">
    <w:name w:val="页眉 Char"/>
    <w:basedOn w:val="5"/>
    <w:link w:val="4"/>
    <w:qFormat/>
    <w:uiPriority w:val="99"/>
    <w:rPr>
      <w:sz w:val="18"/>
      <w:szCs w:val="18"/>
    </w:rPr>
  </w:style>
  <w:style w:type="character" w:customStyle="1" w:styleId="163">
    <w:name w:val="页脚 Char"/>
    <w:basedOn w:val="5"/>
    <w:link w:val="3"/>
    <w:uiPriority w:val="99"/>
    <w:rPr>
      <w:sz w:val="18"/>
      <w:szCs w:val="18"/>
    </w:rPr>
  </w:style>
  <w:style w:type="paragraph" w:customStyle="1" w:styleId="164">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font13"/>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66">
    <w:name w:val="font14"/>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4"/>
      <w:szCs w:val="24"/>
    </w:rPr>
  </w:style>
  <w:style w:type="paragraph" w:customStyle="1" w:styleId="167">
    <w:name w:val="font15"/>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68">
    <w:name w:val="font1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9">
    <w:name w:val="xl27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0">
    <w:name w:val="xl28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2">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73">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4">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5">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6">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77">
    <w:name w:val="xl2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179">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180">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1">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82">
    <w:name w:val="xl292"/>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3">
    <w:name w:val="xl2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4">
    <w:name w:val="xl29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kern w:val="0"/>
      <w:sz w:val="20"/>
      <w:szCs w:val="20"/>
    </w:rPr>
  </w:style>
  <w:style w:type="paragraph" w:customStyle="1" w:styleId="185">
    <w:name w:val="xl295"/>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186">
    <w:name w:val="xl2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7">
    <w:name w:val="xl297"/>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8">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9">
    <w:name w:val="xl299"/>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90">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91">
    <w:name w:val="xl301"/>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2">
    <w:name w:val="xl302"/>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93">
    <w:name w:val="xl30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94">
    <w:name w:val="xl3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95">
    <w:name w:val="xl305"/>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2"/>
    </w:rPr>
  </w:style>
  <w:style w:type="paragraph" w:customStyle="1" w:styleId="196">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197">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98">
    <w:name w:val="xl3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99">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200">
    <w:name w:val="xl3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2"/>
    </w:rPr>
  </w:style>
  <w:style w:type="paragraph" w:customStyle="1" w:styleId="201">
    <w:name w:val="xl311"/>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FF0000"/>
      <w:kern w:val="0"/>
      <w:sz w:val="24"/>
      <w:szCs w:val="24"/>
    </w:rPr>
  </w:style>
  <w:style w:type="paragraph" w:customStyle="1" w:styleId="202">
    <w:name w:val="xl312"/>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03">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4"/>
      <w:szCs w:val="24"/>
    </w:rPr>
  </w:style>
  <w:style w:type="paragraph" w:customStyle="1" w:styleId="204">
    <w:name w:val="xl314"/>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205">
    <w:name w:val="xl3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6">
    <w:name w:val="xl3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7">
    <w:name w:val="xl3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8">
    <w:name w:val="xl31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9">
    <w:name w:val="xl319"/>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10">
    <w:name w:val="xl320"/>
    <w:basedOn w:val="1"/>
    <w:qFormat/>
    <w:uiPriority w:val="0"/>
    <w:pPr>
      <w:widowControl/>
      <w:spacing w:before="100" w:beforeAutospacing="1" w:after="100" w:afterAutospacing="1"/>
      <w:jc w:val="center"/>
    </w:pPr>
    <w:rPr>
      <w:rFonts w:ascii="Times New Roman" w:hAnsi="Times New Roman" w:eastAsia="宋体" w:cs="Times New Roman"/>
      <w:b/>
      <w:bCs/>
      <w:kern w:val="0"/>
      <w:sz w:val="40"/>
      <w:szCs w:val="40"/>
    </w:rPr>
  </w:style>
  <w:style w:type="paragraph" w:customStyle="1" w:styleId="211">
    <w:name w:val="xl321"/>
    <w:basedOn w:val="1"/>
    <w:qFormat/>
    <w:uiPriority w:val="0"/>
    <w:pPr>
      <w:widowControl/>
      <w:pBdr>
        <w:bottom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12">
    <w:name w:val="xl322"/>
    <w:basedOn w:val="1"/>
    <w:qFormat/>
    <w:uiPriority w:val="0"/>
    <w:pPr>
      <w:widowControl/>
      <w:pBdr>
        <w:bottom w:val="single" w:color="auto" w:sz="4" w:space="0"/>
      </w:pBdr>
      <w:spacing w:before="100" w:beforeAutospacing="1" w:after="100" w:afterAutospacing="1"/>
      <w:jc w:val="right"/>
    </w:pPr>
    <w:rPr>
      <w:rFonts w:ascii="Times New Roman" w:hAnsi="Times New Roman" w:eastAsia="宋体" w:cs="Times New Roman"/>
      <w:kern w:val="0"/>
      <w:sz w:val="24"/>
      <w:szCs w:val="24"/>
    </w:rPr>
  </w:style>
  <w:style w:type="paragraph" w:customStyle="1" w:styleId="213">
    <w:name w:val="xl3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4">
    <w:name w:val="xl3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5">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216">
    <w:name w:val="xl3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7">
    <w:name w:val="xl3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8">
    <w:name w:val="xl3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19">
    <w:name w:val="xl3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20">
    <w:name w:val="xl3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1">
    <w:name w:val="xl3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22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C5760-DFF2-4A85-BD6A-6D959AD103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4539</Words>
  <Characters>25873</Characters>
  <Lines>215</Lines>
  <Paragraphs>60</Paragraphs>
  <TotalTime>0</TotalTime>
  <ScaleCrop>false</ScaleCrop>
  <LinksUpToDate>false</LinksUpToDate>
  <CharactersWithSpaces>30352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2016-11-24T06:21:00Z</dcterms:created>
  <dc:creator>Administrator</dc:creator>
  <cp:lastModifiedBy>Administrator</cp:lastModifiedBy>
  <cp:lastPrinted>2016-11-29T01:38:00Z</cp:lastPrinted>
  <dcterms:modified xsi:type="dcterms:W3CDTF">2016-12-07T01:16:31Z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